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EA945" w14:textId="41164A4C" w:rsidR="00C2041B" w:rsidRPr="00A40E58"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A40E58">
        <w:rPr>
          <w:rFonts w:ascii="Times New Roman" w:eastAsia="Microsoft YaHei" w:hAnsi="Times New Roman" w:cs="Times New Roman"/>
          <w:b/>
          <w:color w:val="FFFFFF" w:themeColor="background1"/>
        </w:rPr>
        <w:t>Nº 1</w:t>
      </w:r>
      <w:r w:rsidR="00A40E58" w:rsidRPr="00A40E58">
        <w:rPr>
          <w:rFonts w:ascii="Times New Roman" w:eastAsia="Microsoft YaHei" w:hAnsi="Times New Roman" w:cs="Times New Roman"/>
          <w:b/>
          <w:color w:val="FFFFFF" w:themeColor="background1"/>
        </w:rPr>
        <w:t>90</w:t>
      </w:r>
      <w:r w:rsidRPr="00A40E58">
        <w:rPr>
          <w:rFonts w:ascii="Times New Roman" w:eastAsia="Microsoft YaHei" w:hAnsi="Times New Roman" w:cs="Times New Roman"/>
          <w:b/>
          <w:color w:val="FFFFFF" w:themeColor="background1"/>
        </w:rPr>
        <w:t>/2021</w:t>
      </w:r>
    </w:p>
    <w:p w14:paraId="4F00AC9C"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67EABB4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332088F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023409BC"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21663123"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 xml:space="preserve">Flávio </w:t>
      </w:r>
      <w:proofErr w:type="spellStart"/>
      <w:r w:rsidR="000733E1" w:rsidRPr="00C2041B">
        <w:rPr>
          <w:rFonts w:ascii="Times New Roman" w:hAnsi="Times New Roman" w:cs="Times New Roman"/>
          <w:b/>
          <w:bCs/>
        </w:rPr>
        <w:t>Diórgenes</w:t>
      </w:r>
      <w:proofErr w:type="spellEnd"/>
      <w:r w:rsidR="000733E1" w:rsidRPr="00C2041B">
        <w:rPr>
          <w:rFonts w:ascii="Times New Roman" w:hAnsi="Times New Roman" w:cs="Times New Roman"/>
          <w:b/>
          <w:bCs/>
        </w:rPr>
        <w:t xml:space="preserve"> Cassimiro</w:t>
      </w:r>
      <w:bookmarkEnd w:id="0"/>
      <w:r w:rsidR="009F3253" w:rsidRPr="00C2041B">
        <w:rPr>
          <w:rFonts w:ascii="Times New Roman" w:hAnsi="Times New Roman" w:cs="Times New Roman"/>
          <w:b/>
          <w:bCs/>
        </w:rPr>
        <w:t>.</w:t>
      </w:r>
    </w:p>
    <w:p w14:paraId="6877DC43" w14:textId="77777777" w:rsidR="00C2041B" w:rsidRDefault="00C2041B" w:rsidP="001A049A">
      <w:pPr>
        <w:spacing w:after="0" w:line="240" w:lineRule="auto"/>
        <w:jc w:val="both"/>
        <w:rPr>
          <w:rFonts w:ascii="Times New Roman" w:hAnsi="Times New Roman" w:cs="Times New Roman"/>
        </w:rPr>
      </w:pPr>
    </w:p>
    <w:p w14:paraId="5949F14C"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4BEEC875" wp14:editId="228D052D">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04BACD3A" w14:textId="322157CD"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2B6D42">
        <w:rPr>
          <w:rFonts w:ascii="Times New Roman" w:hAnsi="Times New Roman" w:cs="Times New Roman"/>
        </w:rPr>
        <w:t xml:space="preserve">empresa </w:t>
      </w:r>
      <w:r w:rsidR="002B6D42" w:rsidRPr="002B6D42">
        <w:rPr>
          <w:rFonts w:ascii="Times New Roman" w:hAnsi="Times New Roman" w:cs="Times New Roman"/>
          <w:b/>
          <w:bCs/>
        </w:rPr>
        <w:t>PAULO FERNANDO DE OLIVEIRA 13343600652</w:t>
      </w:r>
      <w:r w:rsidRPr="002B6D42">
        <w:rPr>
          <w:rFonts w:ascii="Times New Roman" w:hAnsi="Times New Roman" w:cs="Times New Roman"/>
        </w:rPr>
        <w:t xml:space="preserve">, pessoa jurídica, inscrita no CNPJ sob nº. </w:t>
      </w:r>
      <w:r w:rsidR="002B6D42" w:rsidRPr="002B6D42">
        <w:rPr>
          <w:rFonts w:ascii="Times New Roman" w:hAnsi="Times New Roman" w:cs="Times New Roman"/>
          <w:b/>
          <w:bCs/>
        </w:rPr>
        <w:t>40.921.346/0001-47</w:t>
      </w:r>
      <w:r w:rsidR="002B6D42" w:rsidRPr="002B6D42">
        <w:rPr>
          <w:rFonts w:ascii="Times New Roman" w:hAnsi="Times New Roman" w:cs="Times New Roman"/>
        </w:rPr>
        <w:t>,</w:t>
      </w:r>
      <w:r w:rsidRPr="002B6D42">
        <w:rPr>
          <w:rFonts w:ascii="Times New Roman" w:hAnsi="Times New Roman" w:cs="Times New Roman"/>
        </w:rPr>
        <w:t xml:space="preserve"> situada</w:t>
      </w:r>
      <w:r w:rsidR="002B6D42" w:rsidRPr="002B6D42">
        <w:rPr>
          <w:rFonts w:ascii="Times New Roman" w:hAnsi="Times New Roman" w:cs="Times New Roman"/>
        </w:rPr>
        <w:t xml:space="preserve"> na Rua Rio Doce, nº </w:t>
      </w:r>
      <w:r w:rsidR="002B6D42" w:rsidRPr="002B6D42">
        <w:rPr>
          <w:rFonts w:ascii="Times New Roman" w:hAnsi="Times New Roman" w:cs="Times New Roman"/>
        </w:rPr>
        <w:t>300</w:t>
      </w:r>
      <w:r w:rsidR="002B6D42" w:rsidRPr="002B6D42">
        <w:rPr>
          <w:rFonts w:ascii="Times New Roman" w:hAnsi="Times New Roman" w:cs="Times New Roman"/>
        </w:rPr>
        <w:t xml:space="preserve">, Bairro Jardim Sol Nascente, </w:t>
      </w:r>
      <w:r w:rsidR="002B6D42" w:rsidRPr="002B6D42">
        <w:rPr>
          <w:rFonts w:ascii="Times New Roman" w:hAnsi="Times New Roman" w:cs="Times New Roman"/>
          <w:b/>
          <w:bCs/>
        </w:rPr>
        <w:t>SÃO GOTARDO/MG</w:t>
      </w:r>
      <w:r w:rsidRPr="002B6D42">
        <w:rPr>
          <w:rFonts w:ascii="Times New Roman" w:hAnsi="Times New Roman" w:cs="Times New Roman"/>
        </w:rPr>
        <w:t>, CEP</w:t>
      </w:r>
      <w:r w:rsidR="002B6D42" w:rsidRPr="002B6D42">
        <w:rPr>
          <w:rFonts w:ascii="Times New Roman" w:hAnsi="Times New Roman" w:cs="Times New Roman"/>
        </w:rPr>
        <w:t xml:space="preserve"> </w:t>
      </w:r>
      <w:r w:rsidR="002B6D42" w:rsidRPr="002B6D42">
        <w:rPr>
          <w:rFonts w:ascii="Times New Roman" w:hAnsi="Times New Roman" w:cs="Times New Roman"/>
        </w:rPr>
        <w:t>38800-000</w:t>
      </w:r>
      <w:r w:rsidRPr="002B6D42">
        <w:rPr>
          <w:rFonts w:ascii="Times New Roman" w:hAnsi="Times New Roman" w:cs="Times New Roman"/>
        </w:rPr>
        <w:t xml:space="preserve">, neste ato REPRESENTADA por seu representante legal, o(a) </w:t>
      </w:r>
      <w:proofErr w:type="spellStart"/>
      <w:r w:rsidRPr="002B6D42">
        <w:rPr>
          <w:rFonts w:ascii="Times New Roman" w:hAnsi="Times New Roman" w:cs="Times New Roman"/>
        </w:rPr>
        <w:t>Sr</w:t>
      </w:r>
      <w:proofErr w:type="spellEnd"/>
      <w:r w:rsidRPr="002B6D42">
        <w:rPr>
          <w:rFonts w:ascii="Times New Roman" w:hAnsi="Times New Roman" w:cs="Times New Roman"/>
        </w:rPr>
        <w:t>(a).</w:t>
      </w:r>
      <w:r w:rsidR="002B6D42" w:rsidRPr="002B6D42">
        <w:t xml:space="preserve"> </w:t>
      </w:r>
      <w:bookmarkStart w:id="1" w:name="_Hlk85465062"/>
      <w:r w:rsidR="002B6D42" w:rsidRPr="002B6D42">
        <w:rPr>
          <w:rFonts w:ascii="Times New Roman" w:hAnsi="Times New Roman" w:cs="Times New Roman"/>
        </w:rPr>
        <w:t>Paulo Fernando De Oliveira</w:t>
      </w:r>
      <w:bookmarkEnd w:id="1"/>
      <w:r w:rsidRPr="002B6D42">
        <w:rPr>
          <w:rFonts w:ascii="Times New Roman" w:hAnsi="Times New Roman" w:cs="Times New Roman"/>
        </w:rPr>
        <w:t xml:space="preserve">, inscrito no CPF nº. </w:t>
      </w:r>
      <w:r w:rsidR="002B6D42" w:rsidRPr="002B6D42">
        <w:rPr>
          <w:rFonts w:ascii="Times New Roman" w:hAnsi="Times New Roman" w:cs="Times New Roman"/>
        </w:rPr>
        <w:t>133.436.006-52</w:t>
      </w:r>
      <w:r w:rsidRPr="002B6D42">
        <w:rPr>
          <w:rFonts w:ascii="Times New Roman" w:hAnsi="Times New Roman" w:cs="Times New Roman"/>
        </w:rPr>
        <w:t xml:space="preserve">, </w:t>
      </w:r>
      <w:r w:rsidRPr="00C2041B">
        <w:rPr>
          <w:rFonts w:ascii="Times New Roman" w:hAnsi="Times New Roman" w:cs="Times New Roman"/>
        </w:rPr>
        <w:t xml:space="preserve">doravante denominada </w:t>
      </w:r>
      <w:r w:rsidRPr="00C2041B">
        <w:rPr>
          <w:rFonts w:ascii="Times New Roman" w:hAnsi="Times New Roman" w:cs="Times New Roman"/>
          <w:b/>
          <w:bCs/>
        </w:rPr>
        <w:t>CONTRATADA</w:t>
      </w:r>
      <w:r w:rsidRPr="00C2041B">
        <w:rPr>
          <w:rFonts w:ascii="Times New Roman" w:hAnsi="Times New Roman" w:cs="Times New Roman"/>
        </w:rPr>
        <w:t xml:space="preserve">, resolvem firmar o presente contrato, sob a regência das Leis Municipais vigentes, Leis Federais </w:t>
      </w:r>
      <w:proofErr w:type="spellStart"/>
      <w:r w:rsidRPr="00C2041B">
        <w:rPr>
          <w:rFonts w:ascii="Times New Roman" w:hAnsi="Times New Roman" w:cs="Times New Roman"/>
        </w:rPr>
        <w:t>nºs</w:t>
      </w:r>
      <w:proofErr w:type="spellEnd"/>
      <w:r w:rsidRPr="00C2041B">
        <w:rPr>
          <w:rFonts w:ascii="Times New Roman" w:hAnsi="Times New Roman" w:cs="Times New Roman"/>
        </w:rPr>
        <w:t>. 8.666/93, 10.520/2002, e Decreto 10.024/19, Decreto Municipais nº 1.183/2020 e 1.091/2018 e demais normas pertinentes, mediante as seguintes cláusulas e condições:</w:t>
      </w:r>
    </w:p>
    <w:p w14:paraId="0D5FCAAB" w14:textId="77777777" w:rsidR="00C2041B" w:rsidRPr="00C2041B" w:rsidRDefault="00C2041B" w:rsidP="001A049A">
      <w:pPr>
        <w:spacing w:after="0" w:line="240" w:lineRule="auto"/>
        <w:jc w:val="both"/>
        <w:rPr>
          <w:rFonts w:ascii="Times New Roman" w:hAnsi="Times New Roman" w:cs="Times New Roman"/>
        </w:rPr>
      </w:pPr>
    </w:p>
    <w:p w14:paraId="2EEEB61F"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16CD9F5A"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6966FC3C"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2EE78102" w14:textId="77777777" w:rsidR="00C2041B" w:rsidRPr="00C2041B" w:rsidRDefault="00C2041B" w:rsidP="001A049A">
      <w:pPr>
        <w:spacing w:after="0" w:line="240" w:lineRule="auto"/>
        <w:jc w:val="both"/>
        <w:rPr>
          <w:rFonts w:ascii="Times New Roman" w:hAnsi="Times New Roman" w:cs="Times New Roman"/>
        </w:rPr>
      </w:pPr>
    </w:p>
    <w:p w14:paraId="024D0332"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5F8043FE"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56BD5545" w14:textId="77777777" w:rsidR="00C2041B" w:rsidRPr="00C2041B" w:rsidRDefault="00C2041B" w:rsidP="001A049A">
      <w:pPr>
        <w:spacing w:after="0" w:line="240" w:lineRule="auto"/>
        <w:jc w:val="both"/>
        <w:rPr>
          <w:rFonts w:ascii="Times New Roman" w:hAnsi="Times New Roman" w:cs="Times New Roman"/>
          <w:b/>
          <w:bCs/>
        </w:rPr>
      </w:pPr>
    </w:p>
    <w:p w14:paraId="387D1B6C"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3291D288"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1F466C2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6BAF9EE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4B6F1CF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00B71A0F"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0B6F5B4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4A0CDA7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6A25738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39CF2E2F"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5C2B96DE"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xml:space="preserve">, </w:t>
      </w:r>
      <w:proofErr w:type="spellStart"/>
      <w:r w:rsidR="00741F9C" w:rsidRPr="00C2041B">
        <w:rPr>
          <w:rFonts w:ascii="Times New Roman" w:hAnsi="Times New Roman" w:cs="Times New Roman"/>
        </w:rPr>
        <w:t>ART’s</w:t>
      </w:r>
      <w:proofErr w:type="spellEnd"/>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0F479BAB"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492B9A81" w14:textId="77777777" w:rsidR="00C2041B" w:rsidRPr="00C2041B" w:rsidRDefault="00C2041B" w:rsidP="001A049A">
      <w:pPr>
        <w:spacing w:after="0" w:line="240" w:lineRule="auto"/>
        <w:jc w:val="both"/>
        <w:rPr>
          <w:rFonts w:ascii="Times New Roman" w:hAnsi="Times New Roman" w:cs="Times New Roman"/>
        </w:rPr>
      </w:pPr>
    </w:p>
    <w:p w14:paraId="28D32739"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4DF6C130" w14:textId="737A96F4" w:rsidR="002B6D42"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2B6D42" w:rsidRPr="002B6D42">
        <w:rPr>
          <w:rFonts w:ascii="Times New Roman" w:hAnsi="Times New Roman" w:cs="Times New Roman"/>
          <w:b/>
          <w:bCs/>
        </w:rPr>
        <w:t>R$1.260.000,00 (Um milhão, duzentos e sessenta mil reais).</w:t>
      </w:r>
    </w:p>
    <w:p w14:paraId="40FE0973" w14:textId="77777777" w:rsidR="002B6D42" w:rsidRPr="002B6D42" w:rsidRDefault="002B6D42" w:rsidP="001A049A">
      <w:pPr>
        <w:spacing w:after="0" w:line="240" w:lineRule="auto"/>
        <w:jc w:val="both"/>
        <w:rPr>
          <w:rFonts w:ascii="Times New Roman" w:hAnsi="Times New Roman" w:cs="Times New Roman"/>
          <w:b/>
          <w:bCs/>
        </w:rPr>
      </w:pPr>
    </w:p>
    <w:tbl>
      <w:tblPr>
        <w:tblStyle w:val="Tabelacomgrade1"/>
        <w:tblW w:w="9634" w:type="dxa"/>
        <w:tblInd w:w="0" w:type="dxa"/>
        <w:tblLook w:val="04A0" w:firstRow="1" w:lastRow="0" w:firstColumn="1" w:lastColumn="0" w:noHBand="0" w:noVBand="1"/>
      </w:tblPr>
      <w:tblGrid>
        <w:gridCol w:w="697"/>
        <w:gridCol w:w="1957"/>
        <w:gridCol w:w="1577"/>
        <w:gridCol w:w="1430"/>
        <w:gridCol w:w="1083"/>
        <w:gridCol w:w="1215"/>
        <w:gridCol w:w="1675"/>
      </w:tblGrid>
      <w:tr w:rsidR="002B6D42" w:rsidRPr="002B6D42" w14:paraId="107B8E0A" w14:textId="77777777" w:rsidTr="002B6D42">
        <w:tc>
          <w:tcPr>
            <w:tcW w:w="0" w:type="auto"/>
            <w:tcBorders>
              <w:top w:val="single" w:sz="4" w:space="0" w:color="auto"/>
              <w:left w:val="single" w:sz="4" w:space="0" w:color="auto"/>
              <w:bottom w:val="single" w:sz="4" w:space="0" w:color="auto"/>
              <w:right w:val="single" w:sz="4" w:space="0" w:color="auto"/>
            </w:tcBorders>
            <w:hideMark/>
          </w:tcPr>
          <w:p w14:paraId="2BDE306C" w14:textId="77777777" w:rsidR="002B6D42" w:rsidRPr="002B6D42" w:rsidRDefault="002B6D42" w:rsidP="002B6D42">
            <w:pPr>
              <w:keepNext/>
              <w:outlineLvl w:val="1"/>
              <w:rPr>
                <w:b/>
                <w:bCs/>
                <w:sz w:val="24"/>
                <w:szCs w:val="24"/>
              </w:rPr>
            </w:pPr>
            <w:r w:rsidRPr="002B6D42">
              <w:rPr>
                <w:b/>
                <w:bCs/>
                <w:sz w:val="24"/>
                <w:szCs w:val="24"/>
              </w:rPr>
              <w:t>Item</w:t>
            </w:r>
          </w:p>
        </w:tc>
        <w:tc>
          <w:tcPr>
            <w:tcW w:w="1993" w:type="dxa"/>
            <w:tcBorders>
              <w:top w:val="single" w:sz="4" w:space="0" w:color="auto"/>
              <w:left w:val="single" w:sz="4" w:space="0" w:color="auto"/>
              <w:bottom w:val="single" w:sz="4" w:space="0" w:color="auto"/>
              <w:right w:val="single" w:sz="4" w:space="0" w:color="auto"/>
            </w:tcBorders>
            <w:hideMark/>
          </w:tcPr>
          <w:p w14:paraId="05F47A80" w14:textId="77777777" w:rsidR="002B6D42" w:rsidRPr="002B6D42" w:rsidRDefault="002B6D42" w:rsidP="002B6D42">
            <w:pPr>
              <w:keepNext/>
              <w:outlineLvl w:val="1"/>
              <w:rPr>
                <w:b/>
                <w:bCs/>
                <w:sz w:val="24"/>
                <w:szCs w:val="24"/>
              </w:rPr>
            </w:pPr>
            <w:r w:rsidRPr="002B6D42">
              <w:rPr>
                <w:b/>
                <w:bCs/>
                <w:sz w:val="24"/>
                <w:szCs w:val="24"/>
              </w:rPr>
              <w:t>Descrição</w:t>
            </w:r>
          </w:p>
        </w:tc>
        <w:tc>
          <w:tcPr>
            <w:tcW w:w="1577" w:type="dxa"/>
            <w:tcBorders>
              <w:top w:val="single" w:sz="4" w:space="0" w:color="auto"/>
              <w:left w:val="single" w:sz="4" w:space="0" w:color="auto"/>
              <w:bottom w:val="single" w:sz="4" w:space="0" w:color="auto"/>
              <w:right w:val="single" w:sz="4" w:space="0" w:color="auto"/>
            </w:tcBorders>
            <w:hideMark/>
          </w:tcPr>
          <w:p w14:paraId="0F0C3D1F" w14:textId="77777777" w:rsidR="002B6D42" w:rsidRPr="002B6D42" w:rsidRDefault="002B6D42" w:rsidP="002B6D42">
            <w:pPr>
              <w:keepNext/>
              <w:outlineLvl w:val="1"/>
              <w:rPr>
                <w:b/>
                <w:bCs/>
                <w:sz w:val="24"/>
                <w:szCs w:val="24"/>
              </w:rPr>
            </w:pPr>
            <w:r w:rsidRPr="002B6D42">
              <w:rPr>
                <w:b/>
                <w:bCs/>
                <w:sz w:val="24"/>
                <w:szCs w:val="24"/>
              </w:rPr>
              <w:t>Marca</w:t>
            </w:r>
          </w:p>
        </w:tc>
        <w:tc>
          <w:tcPr>
            <w:tcW w:w="1399" w:type="dxa"/>
            <w:tcBorders>
              <w:top w:val="single" w:sz="4" w:space="0" w:color="auto"/>
              <w:left w:val="single" w:sz="4" w:space="0" w:color="auto"/>
              <w:bottom w:val="single" w:sz="4" w:space="0" w:color="auto"/>
              <w:right w:val="single" w:sz="4" w:space="0" w:color="auto"/>
            </w:tcBorders>
            <w:hideMark/>
          </w:tcPr>
          <w:p w14:paraId="63917FB6" w14:textId="77777777" w:rsidR="002B6D42" w:rsidRPr="002B6D42" w:rsidRDefault="002B6D42" w:rsidP="002B6D42">
            <w:pPr>
              <w:keepNext/>
              <w:outlineLvl w:val="1"/>
              <w:rPr>
                <w:b/>
                <w:bCs/>
                <w:sz w:val="24"/>
                <w:szCs w:val="24"/>
              </w:rPr>
            </w:pPr>
            <w:r w:rsidRPr="002B6D42">
              <w:rPr>
                <w:b/>
                <w:bCs/>
                <w:sz w:val="24"/>
                <w:szCs w:val="24"/>
              </w:rPr>
              <w:t>Quantidade</w:t>
            </w:r>
          </w:p>
        </w:tc>
        <w:tc>
          <w:tcPr>
            <w:tcW w:w="1030" w:type="dxa"/>
            <w:tcBorders>
              <w:top w:val="single" w:sz="4" w:space="0" w:color="auto"/>
              <w:left w:val="single" w:sz="4" w:space="0" w:color="auto"/>
              <w:bottom w:val="single" w:sz="4" w:space="0" w:color="auto"/>
              <w:right w:val="single" w:sz="4" w:space="0" w:color="auto"/>
            </w:tcBorders>
            <w:hideMark/>
          </w:tcPr>
          <w:p w14:paraId="5FDD64D2" w14:textId="77777777" w:rsidR="002B6D42" w:rsidRPr="002B6D42" w:rsidRDefault="002B6D42" w:rsidP="002B6D42">
            <w:pPr>
              <w:keepNext/>
              <w:outlineLvl w:val="1"/>
              <w:rPr>
                <w:b/>
                <w:bCs/>
                <w:sz w:val="24"/>
                <w:szCs w:val="24"/>
              </w:rPr>
            </w:pPr>
            <w:r w:rsidRPr="002B6D42">
              <w:rPr>
                <w:b/>
                <w:bCs/>
                <w:sz w:val="24"/>
                <w:szCs w:val="24"/>
              </w:rPr>
              <w:t>Unidade</w:t>
            </w:r>
          </w:p>
        </w:tc>
        <w:tc>
          <w:tcPr>
            <w:tcW w:w="1238" w:type="dxa"/>
            <w:tcBorders>
              <w:top w:val="single" w:sz="4" w:space="0" w:color="auto"/>
              <w:left w:val="single" w:sz="4" w:space="0" w:color="auto"/>
              <w:bottom w:val="single" w:sz="4" w:space="0" w:color="auto"/>
              <w:right w:val="single" w:sz="4" w:space="0" w:color="auto"/>
            </w:tcBorders>
            <w:hideMark/>
          </w:tcPr>
          <w:p w14:paraId="4B71C838" w14:textId="77777777" w:rsidR="002B6D42" w:rsidRPr="002B6D42" w:rsidRDefault="002B6D42" w:rsidP="002B6D42">
            <w:pPr>
              <w:keepNext/>
              <w:outlineLvl w:val="1"/>
              <w:rPr>
                <w:b/>
                <w:bCs/>
                <w:sz w:val="24"/>
                <w:szCs w:val="24"/>
              </w:rPr>
            </w:pPr>
            <w:r w:rsidRPr="002B6D42">
              <w:rPr>
                <w:b/>
                <w:bCs/>
                <w:sz w:val="24"/>
                <w:szCs w:val="24"/>
              </w:rPr>
              <w:t>Valor do Item</w:t>
            </w:r>
          </w:p>
        </w:tc>
        <w:tc>
          <w:tcPr>
            <w:tcW w:w="1701" w:type="dxa"/>
            <w:tcBorders>
              <w:top w:val="single" w:sz="4" w:space="0" w:color="auto"/>
              <w:left w:val="single" w:sz="4" w:space="0" w:color="auto"/>
              <w:bottom w:val="single" w:sz="4" w:space="0" w:color="auto"/>
              <w:right w:val="single" w:sz="4" w:space="0" w:color="auto"/>
            </w:tcBorders>
            <w:hideMark/>
          </w:tcPr>
          <w:p w14:paraId="671AF6D1" w14:textId="77777777" w:rsidR="002B6D42" w:rsidRPr="002B6D42" w:rsidRDefault="002B6D42" w:rsidP="002B6D42">
            <w:pPr>
              <w:keepNext/>
              <w:outlineLvl w:val="1"/>
              <w:rPr>
                <w:b/>
                <w:bCs/>
                <w:sz w:val="24"/>
                <w:szCs w:val="24"/>
              </w:rPr>
            </w:pPr>
            <w:r w:rsidRPr="002B6D42">
              <w:rPr>
                <w:b/>
                <w:bCs/>
                <w:sz w:val="24"/>
                <w:szCs w:val="24"/>
              </w:rPr>
              <w:t>Valor Total</w:t>
            </w:r>
          </w:p>
        </w:tc>
      </w:tr>
      <w:tr w:rsidR="002B6D42" w:rsidRPr="002B6D42" w14:paraId="37F66BD2" w14:textId="77777777" w:rsidTr="002B6D42">
        <w:tc>
          <w:tcPr>
            <w:tcW w:w="9634" w:type="dxa"/>
            <w:gridSpan w:val="7"/>
            <w:tcBorders>
              <w:top w:val="single" w:sz="4" w:space="0" w:color="auto"/>
              <w:left w:val="single" w:sz="4" w:space="0" w:color="auto"/>
              <w:bottom w:val="single" w:sz="4" w:space="0" w:color="auto"/>
              <w:right w:val="single" w:sz="4" w:space="0" w:color="auto"/>
            </w:tcBorders>
            <w:hideMark/>
          </w:tcPr>
          <w:p w14:paraId="7CFAAE1C" w14:textId="77777777" w:rsidR="002B6D42" w:rsidRPr="002B6D42" w:rsidRDefault="002B6D42" w:rsidP="002B6D42">
            <w:pPr>
              <w:keepNext/>
              <w:outlineLvl w:val="1"/>
              <w:rPr>
                <w:b/>
                <w:bCs/>
                <w:sz w:val="24"/>
                <w:szCs w:val="24"/>
              </w:rPr>
            </w:pPr>
            <w:r w:rsidRPr="002B6D42">
              <w:rPr>
                <w:b/>
                <w:bCs/>
                <w:sz w:val="24"/>
                <w:szCs w:val="24"/>
              </w:rPr>
              <w:t>PAULO FERNANDO DE OLIVEIRA 13343600652</w:t>
            </w:r>
          </w:p>
        </w:tc>
      </w:tr>
      <w:tr w:rsidR="002B6D42" w:rsidRPr="002B6D42" w14:paraId="23D2C0A5" w14:textId="77777777" w:rsidTr="002B6D42">
        <w:tc>
          <w:tcPr>
            <w:tcW w:w="0" w:type="auto"/>
            <w:tcBorders>
              <w:top w:val="single" w:sz="4" w:space="0" w:color="auto"/>
              <w:left w:val="single" w:sz="4" w:space="0" w:color="auto"/>
              <w:bottom w:val="single" w:sz="4" w:space="0" w:color="auto"/>
              <w:right w:val="single" w:sz="4" w:space="0" w:color="auto"/>
            </w:tcBorders>
            <w:hideMark/>
          </w:tcPr>
          <w:p w14:paraId="039336AD" w14:textId="77777777" w:rsidR="002B6D42" w:rsidRPr="002B6D42" w:rsidRDefault="002B6D42" w:rsidP="002B6D42">
            <w:pPr>
              <w:keepNext/>
              <w:outlineLvl w:val="1"/>
              <w:rPr>
                <w:sz w:val="24"/>
                <w:szCs w:val="24"/>
              </w:rPr>
            </w:pPr>
            <w:r w:rsidRPr="002B6D42">
              <w:rPr>
                <w:sz w:val="24"/>
                <w:szCs w:val="24"/>
              </w:rPr>
              <w:t>0009</w:t>
            </w:r>
          </w:p>
        </w:tc>
        <w:tc>
          <w:tcPr>
            <w:tcW w:w="1993" w:type="dxa"/>
            <w:tcBorders>
              <w:top w:val="single" w:sz="4" w:space="0" w:color="auto"/>
              <w:left w:val="single" w:sz="4" w:space="0" w:color="auto"/>
              <w:bottom w:val="single" w:sz="4" w:space="0" w:color="auto"/>
              <w:right w:val="single" w:sz="4" w:space="0" w:color="auto"/>
            </w:tcBorders>
            <w:hideMark/>
          </w:tcPr>
          <w:p w14:paraId="41A54717" w14:textId="77777777" w:rsidR="002B6D42" w:rsidRPr="002B6D42" w:rsidRDefault="002B6D42" w:rsidP="002B6D42">
            <w:pPr>
              <w:keepNext/>
              <w:outlineLvl w:val="1"/>
              <w:rPr>
                <w:sz w:val="24"/>
                <w:szCs w:val="24"/>
              </w:rPr>
            </w:pPr>
            <w:r w:rsidRPr="002B6D42">
              <w:rPr>
                <w:sz w:val="24"/>
                <w:szCs w:val="24"/>
              </w:rPr>
              <w:t xml:space="preserve">ARAME RECOZIDO </w:t>
            </w:r>
            <w:proofErr w:type="gramStart"/>
            <w:r w:rsidRPr="002B6D42">
              <w:rPr>
                <w:sz w:val="24"/>
                <w:szCs w:val="24"/>
              </w:rPr>
              <w:t>N  12</w:t>
            </w:r>
            <w:proofErr w:type="gramEnd"/>
          </w:p>
        </w:tc>
        <w:tc>
          <w:tcPr>
            <w:tcW w:w="1577" w:type="dxa"/>
            <w:tcBorders>
              <w:top w:val="single" w:sz="4" w:space="0" w:color="auto"/>
              <w:left w:val="single" w:sz="4" w:space="0" w:color="auto"/>
              <w:bottom w:val="single" w:sz="4" w:space="0" w:color="auto"/>
              <w:right w:val="single" w:sz="4" w:space="0" w:color="auto"/>
            </w:tcBorders>
            <w:hideMark/>
          </w:tcPr>
          <w:p w14:paraId="7CA518B1" w14:textId="77777777" w:rsidR="002B6D42" w:rsidRPr="002B6D42" w:rsidRDefault="002B6D42" w:rsidP="002B6D42">
            <w:pPr>
              <w:keepNext/>
              <w:outlineLvl w:val="1"/>
              <w:rPr>
                <w:sz w:val="24"/>
                <w:szCs w:val="24"/>
              </w:rPr>
            </w:pPr>
            <w:r w:rsidRPr="002B6D42">
              <w:rPr>
                <w:sz w:val="24"/>
                <w:szCs w:val="24"/>
              </w:rPr>
              <w:t>SEVIMOL</w:t>
            </w:r>
          </w:p>
        </w:tc>
        <w:tc>
          <w:tcPr>
            <w:tcW w:w="1399" w:type="dxa"/>
            <w:tcBorders>
              <w:top w:val="single" w:sz="4" w:space="0" w:color="auto"/>
              <w:left w:val="single" w:sz="4" w:space="0" w:color="auto"/>
              <w:bottom w:val="single" w:sz="4" w:space="0" w:color="auto"/>
              <w:right w:val="single" w:sz="4" w:space="0" w:color="auto"/>
            </w:tcBorders>
            <w:hideMark/>
          </w:tcPr>
          <w:p w14:paraId="64B1283F" w14:textId="77777777" w:rsidR="002B6D42" w:rsidRPr="002B6D42" w:rsidRDefault="002B6D42" w:rsidP="002B6D42">
            <w:pPr>
              <w:keepNext/>
              <w:outlineLvl w:val="1"/>
              <w:rPr>
                <w:sz w:val="24"/>
                <w:szCs w:val="24"/>
              </w:rPr>
            </w:pPr>
            <w:r w:rsidRPr="002B6D42">
              <w:rPr>
                <w:sz w:val="24"/>
                <w:szCs w:val="24"/>
              </w:rPr>
              <w:t>5.000</w:t>
            </w:r>
          </w:p>
        </w:tc>
        <w:tc>
          <w:tcPr>
            <w:tcW w:w="1030" w:type="dxa"/>
            <w:tcBorders>
              <w:top w:val="single" w:sz="4" w:space="0" w:color="auto"/>
              <w:left w:val="single" w:sz="4" w:space="0" w:color="auto"/>
              <w:bottom w:val="single" w:sz="4" w:space="0" w:color="auto"/>
              <w:right w:val="single" w:sz="4" w:space="0" w:color="auto"/>
            </w:tcBorders>
            <w:hideMark/>
          </w:tcPr>
          <w:p w14:paraId="7B61F317" w14:textId="77777777" w:rsidR="002B6D42" w:rsidRPr="002B6D42" w:rsidRDefault="002B6D42" w:rsidP="002B6D42">
            <w:pPr>
              <w:keepNext/>
              <w:outlineLvl w:val="1"/>
              <w:rPr>
                <w:sz w:val="24"/>
                <w:szCs w:val="24"/>
              </w:rPr>
            </w:pPr>
            <w:r w:rsidRPr="002B6D42">
              <w:rPr>
                <w:sz w:val="24"/>
                <w:szCs w:val="24"/>
              </w:rPr>
              <w:t>KG</w:t>
            </w:r>
          </w:p>
        </w:tc>
        <w:tc>
          <w:tcPr>
            <w:tcW w:w="1238" w:type="dxa"/>
            <w:tcBorders>
              <w:top w:val="single" w:sz="4" w:space="0" w:color="auto"/>
              <w:left w:val="single" w:sz="4" w:space="0" w:color="auto"/>
              <w:bottom w:val="single" w:sz="4" w:space="0" w:color="auto"/>
              <w:right w:val="single" w:sz="4" w:space="0" w:color="auto"/>
            </w:tcBorders>
            <w:hideMark/>
          </w:tcPr>
          <w:p w14:paraId="77B7C35F" w14:textId="77777777" w:rsidR="002B6D42" w:rsidRPr="002B6D42" w:rsidRDefault="002B6D42" w:rsidP="002B6D42">
            <w:pPr>
              <w:keepNext/>
              <w:jc w:val="right"/>
              <w:outlineLvl w:val="1"/>
              <w:rPr>
                <w:sz w:val="24"/>
                <w:szCs w:val="24"/>
              </w:rPr>
            </w:pPr>
            <w:r w:rsidRPr="002B6D42">
              <w:rPr>
                <w:sz w:val="24"/>
                <w:szCs w:val="24"/>
              </w:rPr>
              <w:t>24,00</w:t>
            </w:r>
          </w:p>
        </w:tc>
        <w:tc>
          <w:tcPr>
            <w:tcW w:w="1701" w:type="dxa"/>
            <w:tcBorders>
              <w:top w:val="single" w:sz="4" w:space="0" w:color="auto"/>
              <w:left w:val="single" w:sz="4" w:space="0" w:color="auto"/>
              <w:bottom w:val="single" w:sz="4" w:space="0" w:color="auto"/>
              <w:right w:val="single" w:sz="4" w:space="0" w:color="auto"/>
            </w:tcBorders>
            <w:hideMark/>
          </w:tcPr>
          <w:p w14:paraId="5FCF03D4" w14:textId="77777777" w:rsidR="002B6D42" w:rsidRPr="002B6D42" w:rsidRDefault="002B6D42" w:rsidP="002B6D42">
            <w:pPr>
              <w:keepNext/>
              <w:jc w:val="right"/>
              <w:outlineLvl w:val="1"/>
              <w:rPr>
                <w:sz w:val="24"/>
                <w:szCs w:val="24"/>
              </w:rPr>
            </w:pPr>
            <w:r w:rsidRPr="002B6D42">
              <w:rPr>
                <w:sz w:val="24"/>
                <w:szCs w:val="24"/>
              </w:rPr>
              <w:t>120.000,00</w:t>
            </w:r>
          </w:p>
        </w:tc>
      </w:tr>
      <w:tr w:rsidR="002B6D42" w:rsidRPr="002B6D42" w14:paraId="31642E0B" w14:textId="77777777" w:rsidTr="002B6D42">
        <w:tc>
          <w:tcPr>
            <w:tcW w:w="0" w:type="auto"/>
            <w:tcBorders>
              <w:top w:val="single" w:sz="4" w:space="0" w:color="auto"/>
              <w:left w:val="single" w:sz="4" w:space="0" w:color="auto"/>
              <w:bottom w:val="single" w:sz="4" w:space="0" w:color="auto"/>
              <w:right w:val="single" w:sz="4" w:space="0" w:color="auto"/>
            </w:tcBorders>
            <w:hideMark/>
          </w:tcPr>
          <w:p w14:paraId="6735519B" w14:textId="77777777" w:rsidR="002B6D42" w:rsidRPr="002B6D42" w:rsidRDefault="002B6D42" w:rsidP="002B6D42">
            <w:pPr>
              <w:keepNext/>
              <w:outlineLvl w:val="1"/>
              <w:rPr>
                <w:sz w:val="24"/>
                <w:szCs w:val="24"/>
              </w:rPr>
            </w:pPr>
            <w:r w:rsidRPr="002B6D42">
              <w:rPr>
                <w:sz w:val="24"/>
                <w:szCs w:val="24"/>
              </w:rPr>
              <w:t>0010</w:t>
            </w:r>
          </w:p>
        </w:tc>
        <w:tc>
          <w:tcPr>
            <w:tcW w:w="1993" w:type="dxa"/>
            <w:tcBorders>
              <w:top w:val="single" w:sz="4" w:space="0" w:color="auto"/>
              <w:left w:val="single" w:sz="4" w:space="0" w:color="auto"/>
              <w:bottom w:val="single" w:sz="4" w:space="0" w:color="auto"/>
              <w:right w:val="single" w:sz="4" w:space="0" w:color="auto"/>
            </w:tcBorders>
            <w:hideMark/>
          </w:tcPr>
          <w:p w14:paraId="03889515" w14:textId="77777777" w:rsidR="002B6D42" w:rsidRPr="002B6D42" w:rsidRDefault="002B6D42" w:rsidP="002B6D42">
            <w:pPr>
              <w:keepNext/>
              <w:outlineLvl w:val="1"/>
              <w:rPr>
                <w:sz w:val="24"/>
                <w:szCs w:val="24"/>
              </w:rPr>
            </w:pPr>
            <w:r w:rsidRPr="002B6D42">
              <w:rPr>
                <w:sz w:val="24"/>
                <w:szCs w:val="24"/>
              </w:rPr>
              <w:t xml:space="preserve">ARAME RECOZIDO </w:t>
            </w:r>
            <w:proofErr w:type="gramStart"/>
            <w:r w:rsidRPr="002B6D42">
              <w:rPr>
                <w:sz w:val="24"/>
                <w:szCs w:val="24"/>
              </w:rPr>
              <w:t>N  14</w:t>
            </w:r>
            <w:proofErr w:type="gramEnd"/>
          </w:p>
        </w:tc>
        <w:tc>
          <w:tcPr>
            <w:tcW w:w="1577" w:type="dxa"/>
            <w:tcBorders>
              <w:top w:val="single" w:sz="4" w:space="0" w:color="auto"/>
              <w:left w:val="single" w:sz="4" w:space="0" w:color="auto"/>
              <w:bottom w:val="single" w:sz="4" w:space="0" w:color="auto"/>
              <w:right w:val="single" w:sz="4" w:space="0" w:color="auto"/>
            </w:tcBorders>
            <w:hideMark/>
          </w:tcPr>
          <w:p w14:paraId="29CBFE14" w14:textId="77777777" w:rsidR="002B6D42" w:rsidRPr="002B6D42" w:rsidRDefault="002B6D42" w:rsidP="002B6D42">
            <w:pPr>
              <w:keepNext/>
              <w:outlineLvl w:val="1"/>
              <w:rPr>
                <w:sz w:val="24"/>
                <w:szCs w:val="24"/>
              </w:rPr>
            </w:pPr>
            <w:r w:rsidRPr="002B6D42">
              <w:rPr>
                <w:sz w:val="24"/>
                <w:szCs w:val="24"/>
              </w:rPr>
              <w:t>SEVIMOL</w:t>
            </w:r>
          </w:p>
        </w:tc>
        <w:tc>
          <w:tcPr>
            <w:tcW w:w="1399" w:type="dxa"/>
            <w:tcBorders>
              <w:top w:val="single" w:sz="4" w:space="0" w:color="auto"/>
              <w:left w:val="single" w:sz="4" w:space="0" w:color="auto"/>
              <w:bottom w:val="single" w:sz="4" w:space="0" w:color="auto"/>
              <w:right w:val="single" w:sz="4" w:space="0" w:color="auto"/>
            </w:tcBorders>
            <w:hideMark/>
          </w:tcPr>
          <w:p w14:paraId="11DF08A1" w14:textId="77777777" w:rsidR="002B6D42" w:rsidRPr="002B6D42" w:rsidRDefault="002B6D42" w:rsidP="002B6D42">
            <w:pPr>
              <w:keepNext/>
              <w:outlineLvl w:val="1"/>
              <w:rPr>
                <w:sz w:val="24"/>
                <w:szCs w:val="24"/>
              </w:rPr>
            </w:pPr>
            <w:r w:rsidRPr="002B6D42">
              <w:rPr>
                <w:sz w:val="24"/>
                <w:szCs w:val="24"/>
              </w:rPr>
              <w:t>5.000</w:t>
            </w:r>
          </w:p>
        </w:tc>
        <w:tc>
          <w:tcPr>
            <w:tcW w:w="1030" w:type="dxa"/>
            <w:tcBorders>
              <w:top w:val="single" w:sz="4" w:space="0" w:color="auto"/>
              <w:left w:val="single" w:sz="4" w:space="0" w:color="auto"/>
              <w:bottom w:val="single" w:sz="4" w:space="0" w:color="auto"/>
              <w:right w:val="single" w:sz="4" w:space="0" w:color="auto"/>
            </w:tcBorders>
            <w:hideMark/>
          </w:tcPr>
          <w:p w14:paraId="345AC747" w14:textId="77777777" w:rsidR="002B6D42" w:rsidRPr="002B6D42" w:rsidRDefault="002B6D42" w:rsidP="002B6D42">
            <w:pPr>
              <w:keepNext/>
              <w:outlineLvl w:val="1"/>
              <w:rPr>
                <w:sz w:val="24"/>
                <w:szCs w:val="24"/>
              </w:rPr>
            </w:pPr>
            <w:r w:rsidRPr="002B6D42">
              <w:rPr>
                <w:sz w:val="24"/>
                <w:szCs w:val="24"/>
              </w:rPr>
              <w:t>KG</w:t>
            </w:r>
          </w:p>
        </w:tc>
        <w:tc>
          <w:tcPr>
            <w:tcW w:w="1238" w:type="dxa"/>
            <w:tcBorders>
              <w:top w:val="single" w:sz="4" w:space="0" w:color="auto"/>
              <w:left w:val="single" w:sz="4" w:space="0" w:color="auto"/>
              <w:bottom w:val="single" w:sz="4" w:space="0" w:color="auto"/>
              <w:right w:val="single" w:sz="4" w:space="0" w:color="auto"/>
            </w:tcBorders>
            <w:hideMark/>
          </w:tcPr>
          <w:p w14:paraId="199BD0E0" w14:textId="77777777" w:rsidR="002B6D42" w:rsidRPr="002B6D42" w:rsidRDefault="002B6D42" w:rsidP="002B6D42">
            <w:pPr>
              <w:keepNext/>
              <w:jc w:val="right"/>
              <w:outlineLvl w:val="1"/>
              <w:rPr>
                <w:sz w:val="24"/>
                <w:szCs w:val="24"/>
              </w:rPr>
            </w:pPr>
            <w:r w:rsidRPr="002B6D42">
              <w:rPr>
                <w:sz w:val="24"/>
                <w:szCs w:val="24"/>
              </w:rPr>
              <w:t>24,00</w:t>
            </w:r>
          </w:p>
        </w:tc>
        <w:tc>
          <w:tcPr>
            <w:tcW w:w="1701" w:type="dxa"/>
            <w:tcBorders>
              <w:top w:val="single" w:sz="4" w:space="0" w:color="auto"/>
              <w:left w:val="single" w:sz="4" w:space="0" w:color="auto"/>
              <w:bottom w:val="single" w:sz="4" w:space="0" w:color="auto"/>
              <w:right w:val="single" w:sz="4" w:space="0" w:color="auto"/>
            </w:tcBorders>
            <w:hideMark/>
          </w:tcPr>
          <w:p w14:paraId="09A8F24D" w14:textId="77777777" w:rsidR="002B6D42" w:rsidRPr="002B6D42" w:rsidRDefault="002B6D42" w:rsidP="002B6D42">
            <w:pPr>
              <w:keepNext/>
              <w:jc w:val="right"/>
              <w:outlineLvl w:val="1"/>
              <w:rPr>
                <w:sz w:val="24"/>
                <w:szCs w:val="24"/>
              </w:rPr>
            </w:pPr>
            <w:r w:rsidRPr="002B6D42">
              <w:rPr>
                <w:sz w:val="24"/>
                <w:szCs w:val="24"/>
              </w:rPr>
              <w:t>120.000,00</w:t>
            </w:r>
          </w:p>
        </w:tc>
      </w:tr>
      <w:tr w:rsidR="002B6D42" w:rsidRPr="002B6D42" w14:paraId="39EA26A0" w14:textId="77777777" w:rsidTr="002B6D42">
        <w:tc>
          <w:tcPr>
            <w:tcW w:w="0" w:type="auto"/>
            <w:tcBorders>
              <w:top w:val="single" w:sz="4" w:space="0" w:color="auto"/>
              <w:left w:val="single" w:sz="4" w:space="0" w:color="auto"/>
              <w:bottom w:val="single" w:sz="4" w:space="0" w:color="auto"/>
              <w:right w:val="single" w:sz="4" w:space="0" w:color="auto"/>
            </w:tcBorders>
            <w:hideMark/>
          </w:tcPr>
          <w:p w14:paraId="6B472D11" w14:textId="77777777" w:rsidR="002B6D42" w:rsidRPr="002B6D42" w:rsidRDefault="002B6D42" w:rsidP="002B6D42">
            <w:pPr>
              <w:keepNext/>
              <w:outlineLvl w:val="1"/>
              <w:rPr>
                <w:sz w:val="24"/>
                <w:szCs w:val="24"/>
              </w:rPr>
            </w:pPr>
            <w:r w:rsidRPr="002B6D42">
              <w:rPr>
                <w:sz w:val="24"/>
                <w:szCs w:val="24"/>
              </w:rPr>
              <w:t>0025</w:t>
            </w:r>
          </w:p>
        </w:tc>
        <w:tc>
          <w:tcPr>
            <w:tcW w:w="1993" w:type="dxa"/>
            <w:tcBorders>
              <w:top w:val="single" w:sz="4" w:space="0" w:color="auto"/>
              <w:left w:val="single" w:sz="4" w:space="0" w:color="auto"/>
              <w:bottom w:val="single" w:sz="4" w:space="0" w:color="auto"/>
              <w:right w:val="single" w:sz="4" w:space="0" w:color="auto"/>
            </w:tcBorders>
            <w:hideMark/>
          </w:tcPr>
          <w:p w14:paraId="2498D38C" w14:textId="77777777" w:rsidR="002B6D42" w:rsidRPr="002B6D42" w:rsidRDefault="002B6D42" w:rsidP="002B6D42">
            <w:pPr>
              <w:keepNext/>
              <w:outlineLvl w:val="1"/>
              <w:rPr>
                <w:sz w:val="24"/>
                <w:szCs w:val="24"/>
              </w:rPr>
            </w:pPr>
            <w:r w:rsidRPr="002B6D42">
              <w:rPr>
                <w:sz w:val="24"/>
                <w:szCs w:val="24"/>
              </w:rPr>
              <w:t xml:space="preserve">BRITA </w:t>
            </w:r>
            <w:proofErr w:type="gramStart"/>
            <w:r w:rsidRPr="002B6D42">
              <w:rPr>
                <w:sz w:val="24"/>
                <w:szCs w:val="24"/>
              </w:rPr>
              <w:t>N  0</w:t>
            </w:r>
            <w:proofErr w:type="gramEnd"/>
          </w:p>
        </w:tc>
        <w:tc>
          <w:tcPr>
            <w:tcW w:w="1577" w:type="dxa"/>
            <w:tcBorders>
              <w:top w:val="single" w:sz="4" w:space="0" w:color="auto"/>
              <w:left w:val="single" w:sz="4" w:space="0" w:color="auto"/>
              <w:bottom w:val="single" w:sz="4" w:space="0" w:color="auto"/>
              <w:right w:val="single" w:sz="4" w:space="0" w:color="auto"/>
            </w:tcBorders>
            <w:hideMark/>
          </w:tcPr>
          <w:p w14:paraId="15F86AC4" w14:textId="77777777" w:rsidR="002B6D42" w:rsidRPr="002B6D42" w:rsidRDefault="002B6D42" w:rsidP="002B6D42">
            <w:pPr>
              <w:keepNext/>
              <w:outlineLvl w:val="1"/>
              <w:rPr>
                <w:sz w:val="24"/>
                <w:szCs w:val="24"/>
              </w:rPr>
            </w:pPr>
            <w:r w:rsidRPr="002B6D42">
              <w:rPr>
                <w:sz w:val="24"/>
                <w:szCs w:val="24"/>
              </w:rPr>
              <w:t>CALA-CALCARIOS</w:t>
            </w:r>
          </w:p>
        </w:tc>
        <w:tc>
          <w:tcPr>
            <w:tcW w:w="1399" w:type="dxa"/>
            <w:tcBorders>
              <w:top w:val="single" w:sz="4" w:space="0" w:color="auto"/>
              <w:left w:val="single" w:sz="4" w:space="0" w:color="auto"/>
              <w:bottom w:val="single" w:sz="4" w:space="0" w:color="auto"/>
              <w:right w:val="single" w:sz="4" w:space="0" w:color="auto"/>
            </w:tcBorders>
            <w:hideMark/>
          </w:tcPr>
          <w:p w14:paraId="7624B0ED" w14:textId="77777777" w:rsidR="002B6D42" w:rsidRPr="002B6D42" w:rsidRDefault="002B6D42" w:rsidP="002B6D42">
            <w:pPr>
              <w:keepNext/>
              <w:outlineLvl w:val="1"/>
              <w:rPr>
                <w:sz w:val="24"/>
                <w:szCs w:val="24"/>
              </w:rPr>
            </w:pPr>
            <w:r w:rsidRPr="002B6D42">
              <w:rPr>
                <w:sz w:val="24"/>
                <w:szCs w:val="24"/>
              </w:rPr>
              <w:t>5.000</w:t>
            </w:r>
          </w:p>
        </w:tc>
        <w:tc>
          <w:tcPr>
            <w:tcW w:w="1030" w:type="dxa"/>
            <w:tcBorders>
              <w:top w:val="single" w:sz="4" w:space="0" w:color="auto"/>
              <w:left w:val="single" w:sz="4" w:space="0" w:color="auto"/>
              <w:bottom w:val="single" w:sz="4" w:space="0" w:color="auto"/>
              <w:right w:val="single" w:sz="4" w:space="0" w:color="auto"/>
            </w:tcBorders>
            <w:hideMark/>
          </w:tcPr>
          <w:p w14:paraId="78A45820" w14:textId="77777777" w:rsidR="002B6D42" w:rsidRPr="002B6D42" w:rsidRDefault="002B6D42" w:rsidP="002B6D42">
            <w:pPr>
              <w:keepNext/>
              <w:outlineLvl w:val="1"/>
              <w:rPr>
                <w:sz w:val="24"/>
                <w:szCs w:val="24"/>
              </w:rPr>
            </w:pPr>
            <w:r w:rsidRPr="002B6D42">
              <w:rPr>
                <w:sz w:val="24"/>
                <w:szCs w:val="24"/>
              </w:rPr>
              <w:t>TO</w:t>
            </w:r>
          </w:p>
        </w:tc>
        <w:tc>
          <w:tcPr>
            <w:tcW w:w="1238" w:type="dxa"/>
            <w:tcBorders>
              <w:top w:val="single" w:sz="4" w:space="0" w:color="auto"/>
              <w:left w:val="single" w:sz="4" w:space="0" w:color="auto"/>
              <w:bottom w:val="single" w:sz="4" w:space="0" w:color="auto"/>
              <w:right w:val="single" w:sz="4" w:space="0" w:color="auto"/>
            </w:tcBorders>
            <w:hideMark/>
          </w:tcPr>
          <w:p w14:paraId="53D5B058" w14:textId="77777777" w:rsidR="002B6D42" w:rsidRPr="002B6D42" w:rsidRDefault="002B6D42" w:rsidP="002B6D42">
            <w:pPr>
              <w:keepNext/>
              <w:jc w:val="right"/>
              <w:outlineLvl w:val="1"/>
              <w:rPr>
                <w:sz w:val="24"/>
                <w:szCs w:val="24"/>
              </w:rPr>
            </w:pPr>
            <w:r w:rsidRPr="002B6D42">
              <w:rPr>
                <w:sz w:val="24"/>
                <w:szCs w:val="24"/>
              </w:rPr>
              <w:t>100,00</w:t>
            </w:r>
          </w:p>
        </w:tc>
        <w:tc>
          <w:tcPr>
            <w:tcW w:w="1701" w:type="dxa"/>
            <w:tcBorders>
              <w:top w:val="single" w:sz="4" w:space="0" w:color="auto"/>
              <w:left w:val="single" w:sz="4" w:space="0" w:color="auto"/>
              <w:bottom w:val="single" w:sz="4" w:space="0" w:color="auto"/>
              <w:right w:val="single" w:sz="4" w:space="0" w:color="auto"/>
            </w:tcBorders>
            <w:hideMark/>
          </w:tcPr>
          <w:p w14:paraId="47DB0F63" w14:textId="77777777" w:rsidR="002B6D42" w:rsidRPr="002B6D42" w:rsidRDefault="002B6D42" w:rsidP="002B6D42">
            <w:pPr>
              <w:keepNext/>
              <w:jc w:val="right"/>
              <w:outlineLvl w:val="1"/>
              <w:rPr>
                <w:sz w:val="24"/>
                <w:szCs w:val="24"/>
              </w:rPr>
            </w:pPr>
            <w:r w:rsidRPr="002B6D42">
              <w:rPr>
                <w:sz w:val="24"/>
                <w:szCs w:val="24"/>
              </w:rPr>
              <w:t>500.000,00</w:t>
            </w:r>
          </w:p>
        </w:tc>
      </w:tr>
      <w:tr w:rsidR="002B6D42" w:rsidRPr="002B6D42" w14:paraId="3C0EA98F" w14:textId="77777777" w:rsidTr="002B6D42">
        <w:tc>
          <w:tcPr>
            <w:tcW w:w="0" w:type="auto"/>
            <w:tcBorders>
              <w:top w:val="single" w:sz="4" w:space="0" w:color="auto"/>
              <w:left w:val="single" w:sz="4" w:space="0" w:color="auto"/>
              <w:bottom w:val="single" w:sz="4" w:space="0" w:color="auto"/>
              <w:right w:val="single" w:sz="4" w:space="0" w:color="auto"/>
            </w:tcBorders>
            <w:hideMark/>
          </w:tcPr>
          <w:p w14:paraId="66D8A3E9" w14:textId="77777777" w:rsidR="002B6D42" w:rsidRPr="002B6D42" w:rsidRDefault="002B6D42" w:rsidP="002B6D42">
            <w:pPr>
              <w:keepNext/>
              <w:outlineLvl w:val="1"/>
              <w:rPr>
                <w:sz w:val="24"/>
                <w:szCs w:val="24"/>
              </w:rPr>
            </w:pPr>
            <w:r w:rsidRPr="002B6D42">
              <w:rPr>
                <w:sz w:val="24"/>
                <w:szCs w:val="24"/>
              </w:rPr>
              <w:t>0026</w:t>
            </w:r>
          </w:p>
        </w:tc>
        <w:tc>
          <w:tcPr>
            <w:tcW w:w="1993" w:type="dxa"/>
            <w:tcBorders>
              <w:top w:val="single" w:sz="4" w:space="0" w:color="auto"/>
              <w:left w:val="single" w:sz="4" w:space="0" w:color="auto"/>
              <w:bottom w:val="single" w:sz="4" w:space="0" w:color="auto"/>
              <w:right w:val="single" w:sz="4" w:space="0" w:color="auto"/>
            </w:tcBorders>
            <w:hideMark/>
          </w:tcPr>
          <w:p w14:paraId="20150F0B" w14:textId="77777777" w:rsidR="002B6D42" w:rsidRPr="002B6D42" w:rsidRDefault="002B6D42" w:rsidP="002B6D42">
            <w:pPr>
              <w:keepNext/>
              <w:outlineLvl w:val="1"/>
              <w:rPr>
                <w:sz w:val="24"/>
                <w:szCs w:val="24"/>
              </w:rPr>
            </w:pPr>
            <w:r w:rsidRPr="002B6D42">
              <w:rPr>
                <w:sz w:val="24"/>
                <w:szCs w:val="24"/>
              </w:rPr>
              <w:t xml:space="preserve">BRITA </w:t>
            </w:r>
            <w:proofErr w:type="gramStart"/>
            <w:r w:rsidRPr="002B6D42">
              <w:rPr>
                <w:sz w:val="24"/>
                <w:szCs w:val="24"/>
              </w:rPr>
              <w:t>N  1</w:t>
            </w:r>
            <w:proofErr w:type="gramEnd"/>
          </w:p>
        </w:tc>
        <w:tc>
          <w:tcPr>
            <w:tcW w:w="1577" w:type="dxa"/>
            <w:tcBorders>
              <w:top w:val="single" w:sz="4" w:space="0" w:color="auto"/>
              <w:left w:val="single" w:sz="4" w:space="0" w:color="auto"/>
              <w:bottom w:val="single" w:sz="4" w:space="0" w:color="auto"/>
              <w:right w:val="single" w:sz="4" w:space="0" w:color="auto"/>
            </w:tcBorders>
            <w:hideMark/>
          </w:tcPr>
          <w:p w14:paraId="62EED3F6" w14:textId="77777777" w:rsidR="002B6D42" w:rsidRPr="002B6D42" w:rsidRDefault="002B6D42" w:rsidP="002B6D42">
            <w:pPr>
              <w:keepNext/>
              <w:outlineLvl w:val="1"/>
              <w:rPr>
                <w:sz w:val="24"/>
                <w:szCs w:val="24"/>
              </w:rPr>
            </w:pPr>
            <w:r w:rsidRPr="002B6D42">
              <w:rPr>
                <w:sz w:val="24"/>
                <w:szCs w:val="24"/>
              </w:rPr>
              <w:t>CALA CALCARIOS</w:t>
            </w:r>
          </w:p>
        </w:tc>
        <w:tc>
          <w:tcPr>
            <w:tcW w:w="1399" w:type="dxa"/>
            <w:tcBorders>
              <w:top w:val="single" w:sz="4" w:space="0" w:color="auto"/>
              <w:left w:val="single" w:sz="4" w:space="0" w:color="auto"/>
              <w:bottom w:val="single" w:sz="4" w:space="0" w:color="auto"/>
              <w:right w:val="single" w:sz="4" w:space="0" w:color="auto"/>
            </w:tcBorders>
            <w:hideMark/>
          </w:tcPr>
          <w:p w14:paraId="7F4682B1" w14:textId="77777777" w:rsidR="002B6D42" w:rsidRPr="002B6D42" w:rsidRDefault="002B6D42" w:rsidP="002B6D42">
            <w:pPr>
              <w:keepNext/>
              <w:outlineLvl w:val="1"/>
              <w:rPr>
                <w:sz w:val="24"/>
                <w:szCs w:val="24"/>
              </w:rPr>
            </w:pPr>
            <w:r w:rsidRPr="002B6D42">
              <w:rPr>
                <w:sz w:val="24"/>
                <w:szCs w:val="24"/>
              </w:rPr>
              <w:t>5.000</w:t>
            </w:r>
          </w:p>
        </w:tc>
        <w:tc>
          <w:tcPr>
            <w:tcW w:w="1030" w:type="dxa"/>
            <w:tcBorders>
              <w:top w:val="single" w:sz="4" w:space="0" w:color="auto"/>
              <w:left w:val="single" w:sz="4" w:space="0" w:color="auto"/>
              <w:bottom w:val="single" w:sz="4" w:space="0" w:color="auto"/>
              <w:right w:val="single" w:sz="4" w:space="0" w:color="auto"/>
            </w:tcBorders>
            <w:hideMark/>
          </w:tcPr>
          <w:p w14:paraId="4F10C9F2" w14:textId="77777777" w:rsidR="002B6D42" w:rsidRPr="002B6D42" w:rsidRDefault="002B6D42" w:rsidP="002B6D42">
            <w:pPr>
              <w:keepNext/>
              <w:outlineLvl w:val="1"/>
              <w:rPr>
                <w:sz w:val="24"/>
                <w:szCs w:val="24"/>
              </w:rPr>
            </w:pPr>
            <w:r w:rsidRPr="002B6D42">
              <w:rPr>
                <w:sz w:val="24"/>
                <w:szCs w:val="24"/>
              </w:rPr>
              <w:t>TO</w:t>
            </w:r>
          </w:p>
        </w:tc>
        <w:tc>
          <w:tcPr>
            <w:tcW w:w="1238" w:type="dxa"/>
            <w:tcBorders>
              <w:top w:val="single" w:sz="4" w:space="0" w:color="auto"/>
              <w:left w:val="single" w:sz="4" w:space="0" w:color="auto"/>
              <w:bottom w:val="single" w:sz="4" w:space="0" w:color="auto"/>
              <w:right w:val="single" w:sz="4" w:space="0" w:color="auto"/>
            </w:tcBorders>
            <w:hideMark/>
          </w:tcPr>
          <w:p w14:paraId="52201650" w14:textId="77777777" w:rsidR="002B6D42" w:rsidRPr="002B6D42" w:rsidRDefault="002B6D42" w:rsidP="002B6D42">
            <w:pPr>
              <w:keepNext/>
              <w:jc w:val="right"/>
              <w:outlineLvl w:val="1"/>
              <w:rPr>
                <w:sz w:val="24"/>
                <w:szCs w:val="24"/>
              </w:rPr>
            </w:pPr>
            <w:r w:rsidRPr="002B6D42">
              <w:rPr>
                <w:sz w:val="24"/>
                <w:szCs w:val="24"/>
              </w:rPr>
              <w:t>104,00</w:t>
            </w:r>
          </w:p>
        </w:tc>
        <w:tc>
          <w:tcPr>
            <w:tcW w:w="1701" w:type="dxa"/>
            <w:tcBorders>
              <w:top w:val="single" w:sz="4" w:space="0" w:color="auto"/>
              <w:left w:val="single" w:sz="4" w:space="0" w:color="auto"/>
              <w:bottom w:val="single" w:sz="4" w:space="0" w:color="auto"/>
              <w:right w:val="single" w:sz="4" w:space="0" w:color="auto"/>
            </w:tcBorders>
            <w:hideMark/>
          </w:tcPr>
          <w:p w14:paraId="3404ED41" w14:textId="77777777" w:rsidR="002B6D42" w:rsidRPr="002B6D42" w:rsidRDefault="002B6D42" w:rsidP="002B6D42">
            <w:pPr>
              <w:keepNext/>
              <w:jc w:val="right"/>
              <w:outlineLvl w:val="1"/>
              <w:rPr>
                <w:sz w:val="24"/>
                <w:szCs w:val="24"/>
              </w:rPr>
            </w:pPr>
            <w:r w:rsidRPr="002B6D42">
              <w:rPr>
                <w:sz w:val="24"/>
                <w:szCs w:val="24"/>
              </w:rPr>
              <w:t>520.000,00</w:t>
            </w:r>
          </w:p>
        </w:tc>
      </w:tr>
      <w:tr w:rsidR="002B6D42" w:rsidRPr="002B6D42" w14:paraId="1EE0AE03" w14:textId="77777777" w:rsidTr="002B6D42">
        <w:tc>
          <w:tcPr>
            <w:tcW w:w="9634" w:type="dxa"/>
            <w:gridSpan w:val="7"/>
            <w:tcBorders>
              <w:top w:val="single" w:sz="4" w:space="0" w:color="auto"/>
              <w:left w:val="single" w:sz="4" w:space="0" w:color="auto"/>
              <w:bottom w:val="single" w:sz="4" w:space="0" w:color="auto"/>
              <w:right w:val="single" w:sz="4" w:space="0" w:color="auto"/>
            </w:tcBorders>
            <w:hideMark/>
          </w:tcPr>
          <w:p w14:paraId="198BAFB7" w14:textId="77777777" w:rsidR="002B6D42" w:rsidRPr="002B6D42" w:rsidRDefault="002B6D42" w:rsidP="002B6D42">
            <w:pPr>
              <w:keepNext/>
              <w:jc w:val="right"/>
              <w:outlineLvl w:val="1"/>
              <w:rPr>
                <w:b/>
                <w:bCs/>
                <w:sz w:val="24"/>
                <w:szCs w:val="24"/>
              </w:rPr>
            </w:pPr>
            <w:r w:rsidRPr="002B6D42">
              <w:rPr>
                <w:b/>
                <w:bCs/>
                <w:sz w:val="24"/>
                <w:szCs w:val="24"/>
              </w:rPr>
              <w:t>Total do Fornecedor: 1.260.000,00</w:t>
            </w:r>
          </w:p>
        </w:tc>
      </w:tr>
    </w:tbl>
    <w:p w14:paraId="26F81AB1" w14:textId="2BA669EC" w:rsidR="001A049A" w:rsidRPr="000F266B" w:rsidRDefault="001A049A" w:rsidP="001A049A">
      <w:pPr>
        <w:spacing w:after="0" w:line="240" w:lineRule="auto"/>
        <w:jc w:val="both"/>
        <w:rPr>
          <w:rFonts w:ascii="Times New Roman" w:hAnsi="Times New Roman" w:cs="Times New Roman"/>
          <w:color w:val="FF0000"/>
        </w:rPr>
      </w:pPr>
    </w:p>
    <w:p w14:paraId="1724C0C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78039EC0"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DEE288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494C75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AB00C5B"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ED6B7EE"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E5AFA2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733AA79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2C3B4EE0"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A4DC21C"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w:t>
      </w:r>
      <w:proofErr w:type="spellStart"/>
      <w:r w:rsidR="00A119CE" w:rsidRPr="00C2041B">
        <w:rPr>
          <w:rFonts w:ascii="Times New Roman" w:hAnsi="Times New Roman" w:cs="Times New Roman"/>
        </w:rPr>
        <w:t>NFe</w:t>
      </w:r>
      <w:proofErr w:type="spellEnd"/>
      <w:r w:rsidR="00A119CE" w:rsidRPr="00C2041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141CAB1A" w14:textId="77777777" w:rsidR="00C2041B" w:rsidRPr="00C2041B" w:rsidRDefault="00C2041B" w:rsidP="00A119CE">
      <w:pPr>
        <w:spacing w:after="0" w:line="240" w:lineRule="auto"/>
        <w:jc w:val="both"/>
        <w:rPr>
          <w:rFonts w:ascii="Times New Roman" w:hAnsi="Times New Roman" w:cs="Times New Roman"/>
        </w:rPr>
      </w:pPr>
    </w:p>
    <w:p w14:paraId="2ADCD2E6"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74937BD9"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w:t>
      </w:r>
      <w:r w:rsidRPr="00C2041B">
        <w:rPr>
          <w:rFonts w:ascii="Times New Roman" w:hAnsi="Times New Roman" w:cs="Times New Roman"/>
        </w:rPr>
        <w:lastRenderedPageBreak/>
        <w:t>o Art. 65, em seu inciso II, alínea d, da Lei 8.666/93, em hipótese alguma, o fornecedor poderá paralisar o fornecimento.</w:t>
      </w:r>
    </w:p>
    <w:p w14:paraId="590319CF"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6701FC47" w14:textId="77777777" w:rsidR="000F266B" w:rsidRPr="00C2041B" w:rsidRDefault="000F266B" w:rsidP="001A049A">
      <w:pPr>
        <w:spacing w:after="0" w:line="240" w:lineRule="auto"/>
        <w:jc w:val="both"/>
        <w:rPr>
          <w:rFonts w:ascii="Times New Roman" w:hAnsi="Times New Roman" w:cs="Times New Roman"/>
        </w:rPr>
      </w:pPr>
    </w:p>
    <w:p w14:paraId="52382714"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4F400AB3"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66E74619"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51791B73" w14:textId="77777777" w:rsidR="000F266B" w:rsidRPr="00C2041B" w:rsidRDefault="000F266B" w:rsidP="00F138D1">
      <w:pPr>
        <w:spacing w:after="0" w:line="240" w:lineRule="auto"/>
        <w:jc w:val="both"/>
        <w:rPr>
          <w:rFonts w:ascii="Times New Roman" w:hAnsi="Times New Roman" w:cs="Times New Roman"/>
        </w:rPr>
      </w:pPr>
    </w:p>
    <w:p w14:paraId="2E1EF9F9"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75688E36"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472495C4"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61926C9F"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495E0998" w14:textId="77777777" w:rsidR="000F266B" w:rsidRPr="00C2041B" w:rsidRDefault="000F266B" w:rsidP="001A049A">
      <w:pPr>
        <w:spacing w:after="0" w:line="240" w:lineRule="auto"/>
        <w:jc w:val="both"/>
        <w:rPr>
          <w:rFonts w:ascii="Times New Roman" w:hAnsi="Times New Roman" w:cs="Times New Roman"/>
        </w:rPr>
      </w:pPr>
    </w:p>
    <w:p w14:paraId="37A2F365"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0160481B"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5BAE230"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4D8435FC"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6417F516"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06224674"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6BF59479"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474DD8F9"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10899B68"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0A1B9B2F"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601D089A"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54DFF46E"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2EB0FCCC" w14:textId="77777777" w:rsidR="000F266B" w:rsidRPr="00C2041B" w:rsidRDefault="000F266B" w:rsidP="000733E1">
      <w:pPr>
        <w:pStyle w:val="Corpodetexto"/>
        <w:tabs>
          <w:tab w:val="left" w:pos="200"/>
        </w:tabs>
        <w:jc w:val="both"/>
        <w:rPr>
          <w:rFonts w:ascii="Times New Roman" w:hAnsi="Times New Roman" w:cs="Times New Roman"/>
        </w:rPr>
      </w:pPr>
    </w:p>
    <w:p w14:paraId="56DEF9F8"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4328937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06ADCCB8"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549360D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34F6380C"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64D1037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417DF32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17E5BE4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lastRenderedPageBreak/>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63C0F8C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7D153F2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332509A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2EF0D60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68500D3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6217805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3AA3A4D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32F84D2F"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7AB5E5ED" w14:textId="77777777" w:rsidR="000F266B" w:rsidRPr="00C2041B" w:rsidRDefault="000F266B" w:rsidP="001A049A">
      <w:pPr>
        <w:spacing w:after="0" w:line="240" w:lineRule="auto"/>
        <w:jc w:val="both"/>
        <w:rPr>
          <w:rFonts w:ascii="Times New Roman" w:hAnsi="Times New Roman" w:cs="Times New Roman"/>
        </w:rPr>
      </w:pPr>
    </w:p>
    <w:p w14:paraId="2F42BDD8"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2E79CDF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11DFC6B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50D80F1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0BC885D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26C2FBF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214A214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33EB911D"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6F2AC3B9" w14:textId="77777777" w:rsidR="000F266B" w:rsidRPr="00C2041B" w:rsidRDefault="000F266B" w:rsidP="001A049A">
      <w:pPr>
        <w:spacing w:after="0" w:line="240" w:lineRule="auto"/>
        <w:jc w:val="both"/>
        <w:rPr>
          <w:rFonts w:ascii="Times New Roman" w:hAnsi="Times New Roman" w:cs="Times New Roman"/>
        </w:rPr>
      </w:pPr>
    </w:p>
    <w:p w14:paraId="56A38744"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5A892DA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1EA446CE" w14:textId="77777777" w:rsidR="000F266B" w:rsidRPr="00D134C3" w:rsidRDefault="001A049A" w:rsidP="00D134C3">
      <w:pPr>
        <w:spacing w:after="0" w:line="240" w:lineRule="auto"/>
        <w:jc w:val="right"/>
        <w:rPr>
          <w:rFonts w:ascii="Times New Roman" w:hAnsi="Times New Roman" w:cs="Times New Roman"/>
        </w:rPr>
      </w:pPr>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0718B700" w14:textId="77777777" w:rsidR="00611927" w:rsidRDefault="00611927" w:rsidP="00D134C3">
      <w:pPr>
        <w:spacing w:after="0" w:line="240" w:lineRule="auto"/>
        <w:jc w:val="right"/>
        <w:rPr>
          <w:rFonts w:ascii="Times New Roman" w:hAnsi="Times New Roman" w:cs="Times New Roman"/>
          <w:color w:val="FF0000"/>
        </w:rPr>
      </w:pPr>
    </w:p>
    <w:p w14:paraId="5A312290" w14:textId="77777777" w:rsidR="00611927" w:rsidRDefault="00611927" w:rsidP="00D134C3">
      <w:pPr>
        <w:spacing w:after="0" w:line="240" w:lineRule="auto"/>
        <w:jc w:val="right"/>
        <w:rPr>
          <w:rFonts w:ascii="Times New Roman" w:hAnsi="Times New Roman" w:cs="Times New Roman"/>
          <w:color w:val="FF0000"/>
        </w:rPr>
      </w:pPr>
    </w:p>
    <w:p w14:paraId="2A07C48E"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7F78E0F8" w14:textId="77777777" w:rsidTr="00D134C3">
        <w:trPr>
          <w:trHeight w:val="486"/>
          <w:jc w:val="center"/>
        </w:trPr>
        <w:tc>
          <w:tcPr>
            <w:tcW w:w="4836" w:type="dxa"/>
            <w:shd w:val="clear" w:color="auto" w:fill="auto"/>
          </w:tcPr>
          <w:p w14:paraId="070C580D"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7F9AA3BD"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w:t>
            </w:r>
            <w:proofErr w:type="spellStart"/>
            <w:r w:rsidRPr="00D134C3">
              <w:rPr>
                <w:rFonts w:ascii="Times New Roman" w:hAnsi="Times New Roman" w:cs="Times New Roman"/>
                <w:sz w:val="24"/>
                <w:szCs w:val="24"/>
              </w:rPr>
              <w:t>Rhenys</w:t>
            </w:r>
            <w:proofErr w:type="spellEnd"/>
            <w:r w:rsidRPr="00D134C3">
              <w:rPr>
                <w:rFonts w:ascii="Times New Roman" w:hAnsi="Times New Roman" w:cs="Times New Roman"/>
                <w:sz w:val="24"/>
                <w:szCs w:val="24"/>
              </w:rPr>
              <w:t xml:space="preserve"> da Silva Cambraia</w:t>
            </w:r>
          </w:p>
          <w:p w14:paraId="6A8892A0"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146E05D4" w14:textId="77777777" w:rsidR="00D134C3" w:rsidRPr="00D134C3" w:rsidRDefault="00D134C3" w:rsidP="00F10FC6">
            <w:pPr>
              <w:spacing w:after="0"/>
              <w:jc w:val="center"/>
              <w:rPr>
                <w:rFonts w:ascii="Times New Roman" w:hAnsi="Times New Roman" w:cs="Times New Roman"/>
                <w:b/>
                <w:sz w:val="24"/>
                <w:szCs w:val="24"/>
              </w:rPr>
            </w:pPr>
          </w:p>
          <w:p w14:paraId="06820BA1" w14:textId="4604C52D" w:rsidR="00D134C3" w:rsidRDefault="00D134C3" w:rsidP="00F10FC6">
            <w:pPr>
              <w:spacing w:after="0" w:line="240" w:lineRule="auto"/>
              <w:jc w:val="center"/>
              <w:rPr>
                <w:rFonts w:ascii="Times New Roman" w:hAnsi="Times New Roman" w:cs="Times New Roman"/>
                <w:sz w:val="24"/>
                <w:szCs w:val="24"/>
              </w:rPr>
            </w:pPr>
          </w:p>
          <w:p w14:paraId="400D3733" w14:textId="77777777" w:rsidR="00F22647" w:rsidRDefault="00F22647" w:rsidP="00F10FC6">
            <w:pPr>
              <w:spacing w:after="0" w:line="240" w:lineRule="auto"/>
              <w:jc w:val="center"/>
              <w:rPr>
                <w:rFonts w:ascii="Times New Roman" w:hAnsi="Times New Roman" w:cs="Times New Roman"/>
                <w:sz w:val="24"/>
                <w:szCs w:val="24"/>
              </w:rPr>
            </w:pPr>
            <w:bookmarkStart w:id="2" w:name="_GoBack"/>
            <w:bookmarkEnd w:id="2"/>
          </w:p>
          <w:p w14:paraId="5BE25999" w14:textId="7F58A36A" w:rsidR="00F22647" w:rsidRPr="00D134C3" w:rsidRDefault="00F22647"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15943CA5"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72E7354B"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2AF476A8"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4D5DF659" w14:textId="77777777" w:rsidTr="00D134C3">
        <w:trPr>
          <w:gridAfter w:val="1"/>
          <w:wAfter w:w="568" w:type="dxa"/>
          <w:trHeight w:val="669"/>
          <w:jc w:val="center"/>
        </w:trPr>
        <w:tc>
          <w:tcPr>
            <w:tcW w:w="9638" w:type="dxa"/>
            <w:gridSpan w:val="2"/>
            <w:shd w:val="clear" w:color="auto" w:fill="auto"/>
          </w:tcPr>
          <w:p w14:paraId="506D75AD" w14:textId="77777777" w:rsidR="002B6D42" w:rsidRPr="002B6D42" w:rsidRDefault="002B6D42" w:rsidP="00F10FC6">
            <w:pPr>
              <w:spacing w:after="0" w:line="240" w:lineRule="auto"/>
              <w:jc w:val="center"/>
              <w:rPr>
                <w:rFonts w:ascii="Times New Roman" w:hAnsi="Times New Roman" w:cs="Times New Roman"/>
                <w:b/>
                <w:bCs/>
                <w:sz w:val="24"/>
                <w:szCs w:val="24"/>
              </w:rPr>
            </w:pPr>
            <w:r w:rsidRPr="002B6D42">
              <w:rPr>
                <w:rFonts w:ascii="Times New Roman" w:hAnsi="Times New Roman" w:cs="Times New Roman"/>
                <w:b/>
                <w:bCs/>
                <w:sz w:val="24"/>
                <w:szCs w:val="24"/>
              </w:rPr>
              <w:t>PAULO FERNANDO DE OLIVEIRA 13343600652</w:t>
            </w:r>
          </w:p>
          <w:p w14:paraId="32AA6127" w14:textId="5249CC82" w:rsidR="00D134C3" w:rsidRPr="00D134C3" w:rsidRDefault="002B6D42" w:rsidP="00F10FC6">
            <w:pPr>
              <w:spacing w:after="0" w:line="240" w:lineRule="auto"/>
              <w:jc w:val="center"/>
              <w:rPr>
                <w:rFonts w:ascii="Times New Roman" w:hAnsi="Times New Roman" w:cs="Times New Roman"/>
                <w:b/>
                <w:sz w:val="24"/>
                <w:szCs w:val="24"/>
                <w:u w:val="single"/>
              </w:rPr>
            </w:pPr>
            <w:r w:rsidRPr="002B6D42">
              <w:rPr>
                <w:rFonts w:ascii="Times New Roman" w:hAnsi="Times New Roman" w:cs="Times New Roman"/>
                <w:sz w:val="24"/>
                <w:szCs w:val="24"/>
              </w:rPr>
              <w:t>Paulo Fernando De Oliveira</w:t>
            </w:r>
            <w:r w:rsidRPr="002B6D42">
              <w:rPr>
                <w:rFonts w:ascii="Times New Roman" w:hAnsi="Times New Roman" w:cs="Times New Roman"/>
                <w:b/>
                <w:sz w:val="28"/>
                <w:szCs w:val="28"/>
                <w:u w:val="single"/>
              </w:rPr>
              <w:t xml:space="preserve"> </w:t>
            </w:r>
          </w:p>
        </w:tc>
      </w:tr>
    </w:tbl>
    <w:p w14:paraId="28C0A4BA" w14:textId="77777777" w:rsidR="00611927" w:rsidRDefault="00611927" w:rsidP="00D134C3">
      <w:pPr>
        <w:spacing w:after="0" w:line="240" w:lineRule="auto"/>
        <w:jc w:val="right"/>
        <w:rPr>
          <w:rFonts w:ascii="Times New Roman" w:hAnsi="Times New Roman" w:cs="Times New Roman"/>
          <w:color w:val="FF0000"/>
        </w:rPr>
      </w:pPr>
    </w:p>
    <w:p w14:paraId="15992A83" w14:textId="77777777" w:rsidR="00611927" w:rsidRDefault="00611927" w:rsidP="00D134C3">
      <w:pPr>
        <w:spacing w:after="0" w:line="240" w:lineRule="auto"/>
        <w:jc w:val="right"/>
        <w:rPr>
          <w:rFonts w:ascii="Times New Roman" w:hAnsi="Times New Roman" w:cs="Times New Roman"/>
          <w:color w:val="FF0000"/>
        </w:rPr>
      </w:pPr>
    </w:p>
    <w:p w14:paraId="3000AF7F"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25595A31"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6FE5CAB9" w14:textId="77777777" w:rsidR="00D134C3" w:rsidRDefault="00D134C3" w:rsidP="00D134C3">
      <w:pPr>
        <w:spacing w:after="0" w:line="240" w:lineRule="auto"/>
        <w:jc w:val="center"/>
        <w:rPr>
          <w:rFonts w:ascii="Times New Roman" w:hAnsi="Times New Roman" w:cs="Times New Roman"/>
        </w:rPr>
      </w:pPr>
    </w:p>
    <w:p w14:paraId="5D9F1740" w14:textId="77777777" w:rsidR="00D134C3" w:rsidRPr="00AF5AE5" w:rsidRDefault="00D134C3" w:rsidP="00D134C3">
      <w:pPr>
        <w:spacing w:after="0" w:line="240" w:lineRule="auto"/>
        <w:jc w:val="center"/>
        <w:rPr>
          <w:rFonts w:ascii="Times New Roman" w:hAnsi="Times New Roman" w:cs="Times New Roman"/>
        </w:rPr>
      </w:pPr>
    </w:p>
    <w:p w14:paraId="3B4BD408"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5E9736DD" w14:textId="2F72E498" w:rsidR="00611927" w:rsidRPr="00F22647" w:rsidRDefault="00D134C3" w:rsidP="00F22647">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 xml:space="preserve">Laura Fernanda </w:t>
      </w:r>
      <w:proofErr w:type="gramStart"/>
      <w:r w:rsidRPr="00D134C3">
        <w:rPr>
          <w:rFonts w:ascii="Times New Roman" w:eastAsia="Times New Roman" w:hAnsi="Times New Roman" w:cs="Times New Roman"/>
          <w:sz w:val="24"/>
          <w:szCs w:val="24"/>
          <w:lang w:eastAsia="pt-BR"/>
        </w:rPr>
        <w:t>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w:t>
      </w:r>
      <w:proofErr w:type="gramEnd"/>
      <w:r w:rsidRPr="00D134C3">
        <w:rPr>
          <w:rFonts w:ascii="Times New Roman" w:eastAsia="Times New Roman" w:hAnsi="Times New Roman" w:cs="Times New Roman"/>
          <w:sz w:val="24"/>
          <w:szCs w:val="24"/>
          <w:lang w:eastAsia="pt-BR"/>
        </w:rPr>
        <w:t>: 123.391.496-06</w:t>
      </w:r>
    </w:p>
    <w:sectPr w:rsidR="00611927" w:rsidRPr="00F22647" w:rsidSect="00C2041B">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72014" w14:textId="77777777" w:rsidR="009F5BA9" w:rsidRDefault="009F5BA9" w:rsidP="00AB0644">
      <w:pPr>
        <w:spacing w:after="0" w:line="240" w:lineRule="auto"/>
      </w:pPr>
      <w:r>
        <w:separator/>
      </w:r>
    </w:p>
  </w:endnote>
  <w:endnote w:type="continuationSeparator" w:id="0">
    <w:p w14:paraId="1B067DB8"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590B"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C4C91" w14:textId="77777777" w:rsidR="009F5BA9" w:rsidRDefault="009F5BA9" w:rsidP="00AB0644">
      <w:pPr>
        <w:spacing w:after="0" w:line="240" w:lineRule="auto"/>
      </w:pPr>
      <w:r>
        <w:separator/>
      </w:r>
    </w:p>
  </w:footnote>
  <w:footnote w:type="continuationSeparator" w:id="0">
    <w:p w14:paraId="75F99153"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D3003"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653E716B" wp14:editId="27920A03">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2896DD66" wp14:editId="3EB85065">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A44A9"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DD66"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36A44A9"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3FF11153" wp14:editId="1E3286CE">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A07C791"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477FF5C5"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B6D42"/>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40E58"/>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2647"/>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66AB4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2B6D42"/>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2B6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2B6D42"/>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2B6D42"/>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2B6D42"/>
  </w:style>
  <w:style w:type="paragraph" w:customStyle="1" w:styleId="msonormal0">
    <w:name w:val="msonormal"/>
    <w:basedOn w:val="Normal"/>
    <w:rsid w:val="002B6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2B6D42"/>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2B6D42"/>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2B6D42"/>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2B6D42"/>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2B6D4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04518762">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341F-E4A5-4C3C-A72D-73A1B2AA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2190</Words>
  <Characters>11830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2021-10-18T19:05:00Z</dcterms:modified>
</cp:coreProperties>
</file>