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 w:themeColor="background1"/>
  <w:body>
    <w:p w14:paraId="3417E69C" w14:textId="760A6C41" w:rsidR="00224E41" w:rsidRDefault="00375150" w:rsidP="00EE1E63">
      <w:pPr>
        <w:tabs>
          <w:tab w:val="left" w:pos="1134"/>
        </w:tabs>
        <w:spacing w:line="360" w:lineRule="auto"/>
        <w:jc w:val="center"/>
        <w:rPr>
          <w:rFonts w:ascii="Arial" w:hAnsi="Arial" w:cs="Arial"/>
          <w:b/>
          <w:i/>
          <w:sz w:val="24"/>
          <w:szCs w:val="24"/>
        </w:rPr>
      </w:pPr>
      <w:r w:rsidRPr="004D2DC9">
        <w:rPr>
          <w:rFonts w:ascii="Arial" w:hAnsi="Arial" w:cs="Arial"/>
          <w:b/>
          <w:i/>
          <w:sz w:val="24"/>
          <w:szCs w:val="24"/>
        </w:rPr>
        <w:t xml:space="preserve">PARECER </w:t>
      </w:r>
      <w:r w:rsidR="00224E41" w:rsidRPr="004D2DC9">
        <w:rPr>
          <w:rFonts w:ascii="Arial" w:hAnsi="Arial" w:cs="Arial"/>
          <w:b/>
          <w:i/>
          <w:sz w:val="24"/>
          <w:szCs w:val="24"/>
        </w:rPr>
        <w:t>JURÍDICO</w:t>
      </w:r>
    </w:p>
    <w:p w14:paraId="08E7E9DC" w14:textId="4403544B" w:rsidR="000C4F5B" w:rsidRPr="000C4F5B" w:rsidRDefault="000C4F5B" w:rsidP="000C4F5B">
      <w:pPr>
        <w:tabs>
          <w:tab w:val="left" w:pos="1134"/>
        </w:tabs>
        <w:ind w:left="4536"/>
        <w:rPr>
          <w:rFonts w:ascii="Arial" w:hAnsi="Arial" w:cs="Arial"/>
          <w:sz w:val="20"/>
        </w:rPr>
      </w:pPr>
    </w:p>
    <w:p w14:paraId="346D28D9" w14:textId="5AC4DDD4" w:rsidR="000839DB" w:rsidRDefault="000839DB" w:rsidP="00711E79">
      <w:pPr>
        <w:pStyle w:val="NormalWeb"/>
        <w:spacing w:before="0" w:beforeAutospacing="0" w:after="0" w:afterAutospacing="0"/>
        <w:ind w:left="4536"/>
        <w:jc w:val="both"/>
        <w:rPr>
          <w:rFonts w:ascii="Arial" w:hAnsi="Arial" w:cs="Arial"/>
          <w:color w:val="C00000"/>
          <w:sz w:val="20"/>
          <w:szCs w:val="20"/>
        </w:rPr>
      </w:pPr>
    </w:p>
    <w:p w14:paraId="1AD32509" w14:textId="03736C14" w:rsidR="000839DB" w:rsidRPr="005A0119" w:rsidRDefault="000839DB" w:rsidP="00711E79">
      <w:pPr>
        <w:pStyle w:val="NormalWeb"/>
        <w:spacing w:before="0" w:beforeAutospacing="0" w:after="0" w:afterAutospacing="0"/>
        <w:ind w:left="4536"/>
        <w:jc w:val="both"/>
        <w:rPr>
          <w:rFonts w:ascii="Arial" w:hAnsi="Arial" w:cs="Arial"/>
          <w:color w:val="C00000"/>
          <w:sz w:val="20"/>
          <w:szCs w:val="20"/>
        </w:rPr>
      </w:pPr>
      <w:r w:rsidRPr="000839DB">
        <w:rPr>
          <w:rFonts w:ascii="Arial" w:hAnsi="Arial" w:cs="Arial"/>
          <w:color w:val="C00000"/>
          <w:sz w:val="20"/>
          <w:szCs w:val="20"/>
        </w:rPr>
        <w:t>IMPUGNAÇÃO À EXIGÊNCIA DE AQUISIÇÃO EXCLUSIVA DA SOLUÇÃO KASPERSKY ENDPOINT SECURITY CLOUD NA DISPENSA ELETRÔNICA Nº 015/2025, PROMOVIDA PELA PREFEITURA MUNICIPAL DE PRESIDENTE OLEGÁRIO/MG. ALEGAÇÃO DE RESTRIÇÃO À CONCORRÊNCIA E DIRECIONAMENTO DE MARCA. JUSTIFICATIVA TÉCNICA APRESENTADA PELA ADMINISTRAÇÃO MUNICIPAL PARA A MANUTENÇÃO DA ESCOLHA DA SOLUÇÃO KASPERSKY, DESTACANDO A PADRONIZAÇÃO DOS SISTEMAS, EFICÁCIA COMPROVADA E CUSTOS OPERACIONAIS. ANÁLISE DA LEGALIDADE DA EXIGÊNCIA DE MARCA ESPECÍFICA À LUZ DO ART. 41, I, DA LEI Nº 14.133/2021 E DA JURISPRUDÊNCIA DO TRIBUNAL DE CONTAS DA UNIÃO. VERIFICAÇÃO DOS PRINCÍPIOS DA ECONOMICIDADE, EFICIÊNCIA, COMPETITIVIDADE E ISONOMIA. PARECER FAVORÁVEL À CONTINUIDADE DO CERTAME NA FORMA PROPOSTA, MANTENDO A EXIGÊNCIA DA SOLUÇÃO KASPERSKY.</w:t>
      </w:r>
    </w:p>
    <w:p w14:paraId="4FF0F128" w14:textId="1807B8AE" w:rsidR="00711E79" w:rsidRDefault="00711E79" w:rsidP="00C4461D">
      <w:pPr>
        <w:tabs>
          <w:tab w:val="left" w:pos="1134"/>
        </w:tabs>
        <w:spacing w:line="360" w:lineRule="auto"/>
        <w:rPr>
          <w:rFonts w:ascii="Arial" w:hAnsi="Arial" w:cs="Arial"/>
          <w:b/>
          <w:iCs/>
          <w:sz w:val="20"/>
        </w:rPr>
      </w:pPr>
    </w:p>
    <w:p w14:paraId="7B44A9D9" w14:textId="77777777" w:rsidR="005A0119" w:rsidRDefault="005A0119" w:rsidP="00C4461D">
      <w:pPr>
        <w:tabs>
          <w:tab w:val="left" w:pos="1134"/>
        </w:tabs>
        <w:spacing w:line="360" w:lineRule="auto"/>
        <w:rPr>
          <w:rFonts w:ascii="Arial" w:hAnsi="Arial" w:cs="Arial"/>
          <w:b/>
          <w:iCs/>
          <w:sz w:val="20"/>
        </w:rPr>
      </w:pPr>
      <w:bookmarkStart w:id="0" w:name="_GoBack"/>
      <w:bookmarkEnd w:id="0"/>
    </w:p>
    <w:p w14:paraId="13F6B0E9" w14:textId="69F2E012" w:rsidR="006D5287" w:rsidRDefault="00C93AE1" w:rsidP="00C4461D">
      <w:pPr>
        <w:tabs>
          <w:tab w:val="left" w:pos="1134"/>
        </w:tabs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iCs/>
          <w:sz w:val="20"/>
        </w:rPr>
        <w:t>Dispensa Eletrônica</w:t>
      </w:r>
      <w:r w:rsidR="00C4461D" w:rsidRPr="002C762E">
        <w:rPr>
          <w:rFonts w:ascii="Arial" w:hAnsi="Arial" w:cs="Arial"/>
          <w:b/>
          <w:iCs/>
          <w:sz w:val="20"/>
        </w:rPr>
        <w:t xml:space="preserve"> nº</w:t>
      </w:r>
      <w:r w:rsidR="00C4461D">
        <w:rPr>
          <w:rFonts w:ascii="Arial" w:hAnsi="Arial" w:cs="Arial"/>
          <w:b/>
          <w:iCs/>
          <w:sz w:val="20"/>
        </w:rPr>
        <w:t xml:space="preserve">.: </w:t>
      </w:r>
      <w:r w:rsidR="00097F03" w:rsidRPr="00097F03">
        <w:rPr>
          <w:rFonts w:ascii="Arial" w:hAnsi="Arial" w:cs="Arial"/>
          <w:b/>
          <w:iCs/>
          <w:color w:val="C00000"/>
          <w:sz w:val="20"/>
        </w:rPr>
        <w:t>01</w:t>
      </w:r>
      <w:r>
        <w:rPr>
          <w:rFonts w:ascii="Arial" w:hAnsi="Arial" w:cs="Arial"/>
          <w:b/>
          <w:iCs/>
          <w:color w:val="C00000"/>
          <w:sz w:val="20"/>
        </w:rPr>
        <w:t>5</w:t>
      </w:r>
      <w:r w:rsidR="00C4461D" w:rsidRPr="00097F03">
        <w:rPr>
          <w:rFonts w:ascii="Arial" w:hAnsi="Arial" w:cs="Arial"/>
          <w:b/>
          <w:iCs/>
          <w:color w:val="C00000"/>
          <w:sz w:val="20"/>
        </w:rPr>
        <w:t>/</w:t>
      </w:r>
      <w:r w:rsidR="00C4461D" w:rsidRPr="009D5511">
        <w:rPr>
          <w:rFonts w:ascii="Arial" w:hAnsi="Arial" w:cs="Arial"/>
          <w:b/>
          <w:color w:val="C00000"/>
          <w:sz w:val="20"/>
        </w:rPr>
        <w:t>202</w:t>
      </w:r>
      <w:r>
        <w:rPr>
          <w:rFonts w:ascii="Arial" w:hAnsi="Arial" w:cs="Arial"/>
          <w:b/>
          <w:color w:val="C00000"/>
          <w:sz w:val="20"/>
        </w:rPr>
        <w:t>5</w:t>
      </w:r>
    </w:p>
    <w:p w14:paraId="1339BCF4" w14:textId="77777777" w:rsidR="00C93AE1" w:rsidRPr="000664D6" w:rsidRDefault="00C4461D" w:rsidP="00C93AE1">
      <w:pPr>
        <w:rPr>
          <w:rFonts w:ascii="Arial" w:hAnsi="Arial" w:cs="Arial"/>
          <w:b/>
          <w:bCs/>
        </w:rPr>
      </w:pPr>
      <w:r w:rsidRPr="002C762E">
        <w:rPr>
          <w:rFonts w:ascii="Arial" w:hAnsi="Arial" w:cs="Arial"/>
          <w:b/>
          <w:iCs/>
          <w:sz w:val="20"/>
        </w:rPr>
        <w:t>Objeto:</w:t>
      </w:r>
      <w:r>
        <w:rPr>
          <w:rFonts w:ascii="Arial" w:hAnsi="Arial" w:cs="Arial"/>
          <w:b/>
          <w:iCs/>
          <w:sz w:val="20"/>
        </w:rPr>
        <w:t xml:space="preserve"> </w:t>
      </w:r>
      <w:r w:rsidRPr="00C4461D">
        <w:rPr>
          <w:rFonts w:ascii="Arial" w:hAnsi="Arial" w:cs="Arial"/>
          <w:b/>
          <w:iCs/>
          <w:color w:val="C00000"/>
          <w:sz w:val="20"/>
        </w:rPr>
        <w:t xml:space="preserve"> </w:t>
      </w:r>
      <w:bookmarkStart w:id="1" w:name="_Hlk192684526"/>
      <w:bookmarkStart w:id="2" w:name="_Hlk192773918"/>
      <w:r w:rsidR="00C93AE1" w:rsidRPr="00C93AE1">
        <w:rPr>
          <w:rFonts w:ascii="Arial" w:hAnsi="Arial" w:cs="Arial"/>
          <w:b/>
          <w:color w:val="C00000"/>
          <w:sz w:val="20"/>
        </w:rPr>
        <w:t>AQUISIÇÃO DE LICENÇA DE SOFTWARE ANTIVÍRUS EM ATENDIMENTO À SECRETARIA MUNICIPAL DE ADMINISTRAÇÃO</w:t>
      </w:r>
      <w:bookmarkEnd w:id="1"/>
      <w:r w:rsidR="00C93AE1" w:rsidRPr="00C93AE1">
        <w:rPr>
          <w:rFonts w:ascii="Arial" w:hAnsi="Arial" w:cs="Arial"/>
          <w:b/>
          <w:color w:val="C00000"/>
          <w:sz w:val="20"/>
        </w:rPr>
        <w:t>.</w:t>
      </w:r>
    </w:p>
    <w:bookmarkEnd w:id="2"/>
    <w:p w14:paraId="2CF1CB41" w14:textId="29128C13" w:rsidR="00C4461D" w:rsidRDefault="00C4461D" w:rsidP="00C4461D">
      <w:pPr>
        <w:tabs>
          <w:tab w:val="left" w:pos="1134"/>
        </w:tabs>
        <w:rPr>
          <w:rFonts w:ascii="Arial" w:hAnsi="Arial" w:cs="Arial"/>
          <w:b/>
          <w:iCs/>
          <w:color w:val="C00000"/>
          <w:sz w:val="20"/>
        </w:rPr>
      </w:pPr>
    </w:p>
    <w:p w14:paraId="2F292000" w14:textId="530F454B" w:rsidR="000C4F5B" w:rsidRPr="004D2DC9" w:rsidRDefault="000C4F5B" w:rsidP="004D2DC9">
      <w:pPr>
        <w:tabs>
          <w:tab w:val="left" w:pos="1134"/>
        </w:tabs>
        <w:spacing w:line="360" w:lineRule="auto"/>
        <w:ind w:firstLine="1134"/>
        <w:rPr>
          <w:rFonts w:ascii="Arial" w:hAnsi="Arial" w:cs="Arial"/>
          <w:b/>
          <w:sz w:val="24"/>
          <w:szCs w:val="24"/>
        </w:rPr>
      </w:pPr>
    </w:p>
    <w:p w14:paraId="0A317657" w14:textId="2629A033" w:rsidR="007862EF" w:rsidRPr="00A23ED3" w:rsidRDefault="00375150" w:rsidP="00A23ED3">
      <w:pPr>
        <w:tabs>
          <w:tab w:val="left" w:pos="1134"/>
        </w:tabs>
        <w:spacing w:line="360" w:lineRule="auto"/>
        <w:rPr>
          <w:rFonts w:ascii="Arial" w:hAnsi="Arial" w:cs="Arial"/>
          <w:b/>
          <w:iCs/>
          <w:sz w:val="24"/>
          <w:szCs w:val="24"/>
          <w:u w:val="single"/>
        </w:rPr>
      </w:pPr>
      <w:r w:rsidRPr="00A23ED3">
        <w:rPr>
          <w:rFonts w:ascii="Arial" w:hAnsi="Arial" w:cs="Arial"/>
          <w:b/>
          <w:iCs/>
          <w:sz w:val="24"/>
          <w:szCs w:val="24"/>
          <w:u w:val="single"/>
        </w:rPr>
        <w:t>DO RELATÓRIO</w:t>
      </w:r>
      <w:r w:rsidR="00CF453C" w:rsidRPr="00A23ED3">
        <w:rPr>
          <w:rFonts w:ascii="Arial" w:hAnsi="Arial" w:cs="Arial"/>
          <w:b/>
          <w:iCs/>
          <w:sz w:val="24"/>
          <w:szCs w:val="24"/>
          <w:u w:val="single"/>
        </w:rPr>
        <w:t xml:space="preserve"> </w:t>
      </w:r>
    </w:p>
    <w:p w14:paraId="2BDDF783" w14:textId="77777777" w:rsidR="00097F03" w:rsidRDefault="00097F03" w:rsidP="00097F03">
      <w:pPr>
        <w:spacing w:line="360" w:lineRule="auto"/>
        <w:ind w:firstLine="1134"/>
        <w:rPr>
          <w:rFonts w:ascii="Arial" w:hAnsi="Arial" w:cs="Arial"/>
          <w:sz w:val="24"/>
          <w:szCs w:val="24"/>
        </w:rPr>
      </w:pPr>
    </w:p>
    <w:p w14:paraId="49D2CBA1" w14:textId="77777777" w:rsidR="00157CFA" w:rsidRPr="00157CFA" w:rsidRDefault="00157CFA" w:rsidP="00157CFA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</w:rPr>
      </w:pPr>
      <w:r w:rsidRPr="00157CFA">
        <w:rPr>
          <w:rFonts w:ascii="Arial" w:hAnsi="Arial" w:cs="Arial"/>
        </w:rPr>
        <w:t xml:space="preserve">Trata-se de impugnação apresentada pela empresa </w:t>
      </w:r>
      <w:r w:rsidRPr="00157CFA">
        <w:rPr>
          <w:rFonts w:ascii="Arial" w:hAnsi="Arial" w:cs="Arial"/>
          <w:b/>
          <w:bCs/>
        </w:rPr>
        <w:t>CONTEGO CONSULTORIA LTDA</w:t>
      </w:r>
      <w:r w:rsidRPr="00157CFA">
        <w:rPr>
          <w:rFonts w:ascii="Arial" w:hAnsi="Arial" w:cs="Arial"/>
        </w:rPr>
        <w:t xml:space="preserve"> contra a exigência de aquisição exclusiva da solução </w:t>
      </w:r>
      <w:r w:rsidRPr="00157CFA">
        <w:rPr>
          <w:rFonts w:ascii="Arial" w:hAnsi="Arial" w:cs="Arial"/>
          <w:b/>
          <w:bCs/>
        </w:rPr>
        <w:t xml:space="preserve">Kaspersky </w:t>
      </w:r>
      <w:proofErr w:type="spellStart"/>
      <w:r w:rsidRPr="00157CFA">
        <w:rPr>
          <w:rFonts w:ascii="Arial" w:hAnsi="Arial" w:cs="Arial"/>
          <w:b/>
          <w:bCs/>
        </w:rPr>
        <w:t>Endpoint</w:t>
      </w:r>
      <w:proofErr w:type="spellEnd"/>
      <w:r w:rsidRPr="00157CFA">
        <w:rPr>
          <w:rFonts w:ascii="Arial" w:hAnsi="Arial" w:cs="Arial"/>
          <w:b/>
          <w:bCs/>
        </w:rPr>
        <w:t xml:space="preserve"> Security Cloud</w:t>
      </w:r>
      <w:r w:rsidRPr="00157CFA">
        <w:rPr>
          <w:rFonts w:ascii="Arial" w:hAnsi="Arial" w:cs="Arial"/>
        </w:rPr>
        <w:t xml:space="preserve"> no âmbito da </w:t>
      </w:r>
      <w:r w:rsidRPr="00157CFA">
        <w:rPr>
          <w:rFonts w:ascii="Arial" w:hAnsi="Arial" w:cs="Arial"/>
          <w:b/>
          <w:bCs/>
        </w:rPr>
        <w:t>Dispensa Eletrônica nº 015/2025</w:t>
      </w:r>
      <w:r w:rsidRPr="00157CFA">
        <w:rPr>
          <w:rFonts w:ascii="Arial" w:hAnsi="Arial" w:cs="Arial"/>
        </w:rPr>
        <w:t>, promovida pela Prefeitura Municipal de Presidente Olegário/MG. A impugnação alega restrição indevida à concorrência e direcionamento de marca, requerendo a reformulação do edital para incluir outras soluções equivalentes.</w:t>
      </w:r>
    </w:p>
    <w:p w14:paraId="36DABA3A" w14:textId="77777777" w:rsidR="00157CFA" w:rsidRPr="00157CFA" w:rsidRDefault="00157CFA" w:rsidP="00157CFA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</w:rPr>
      </w:pPr>
      <w:r w:rsidRPr="00157CFA">
        <w:rPr>
          <w:rFonts w:ascii="Arial" w:hAnsi="Arial" w:cs="Arial"/>
        </w:rPr>
        <w:t xml:space="preserve">A Administração Municipal apresentou </w:t>
      </w:r>
      <w:r w:rsidRPr="00157CFA">
        <w:rPr>
          <w:rFonts w:ascii="Arial" w:hAnsi="Arial" w:cs="Arial"/>
          <w:b/>
          <w:bCs/>
        </w:rPr>
        <w:t>Justificativa Técnica</w:t>
      </w:r>
      <w:r w:rsidRPr="00157CFA">
        <w:rPr>
          <w:rFonts w:ascii="Arial" w:hAnsi="Arial" w:cs="Arial"/>
        </w:rPr>
        <w:t xml:space="preserve"> para a manutenção da escolha da solução Kaspersky, fundamentando-se na padronização dos sistemas, na eficácia comprovada do software e nos custos operacionais elevados de uma eventual migração para outra solução.</w:t>
      </w:r>
    </w:p>
    <w:p w14:paraId="00271BA4" w14:textId="2278C763" w:rsidR="00157CFA" w:rsidRDefault="00157CFA" w:rsidP="00157CFA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</w:rPr>
      </w:pPr>
      <w:r w:rsidRPr="00157CFA">
        <w:rPr>
          <w:rFonts w:ascii="Arial" w:hAnsi="Arial" w:cs="Arial"/>
        </w:rPr>
        <w:t>Diante do exposto, passa-se à análise jurídica da questão.</w:t>
      </w:r>
    </w:p>
    <w:p w14:paraId="0E85F470" w14:textId="7E05E718" w:rsidR="00157CFA" w:rsidRDefault="00157CFA" w:rsidP="00157CFA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</w:rPr>
      </w:pPr>
    </w:p>
    <w:p w14:paraId="437F8DE3" w14:textId="77777777" w:rsidR="000839DB" w:rsidRPr="00157CFA" w:rsidRDefault="000839DB" w:rsidP="00157CFA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</w:rPr>
      </w:pPr>
    </w:p>
    <w:p w14:paraId="278BC6AF" w14:textId="1A121A7B" w:rsidR="00741D17" w:rsidRDefault="00F747F6" w:rsidP="00A23ED3">
      <w:pPr>
        <w:tabs>
          <w:tab w:val="left" w:pos="1134"/>
        </w:tabs>
        <w:spacing w:line="360" w:lineRule="auto"/>
        <w:rPr>
          <w:rFonts w:ascii="Arial" w:hAnsi="Arial" w:cs="Arial"/>
          <w:b/>
          <w:iCs/>
          <w:sz w:val="24"/>
          <w:szCs w:val="24"/>
          <w:u w:val="single"/>
        </w:rPr>
      </w:pPr>
      <w:r>
        <w:rPr>
          <w:rFonts w:ascii="Arial" w:hAnsi="Arial" w:cs="Arial"/>
          <w:b/>
          <w:iCs/>
          <w:sz w:val="24"/>
          <w:szCs w:val="24"/>
          <w:u w:val="single"/>
        </w:rPr>
        <w:lastRenderedPageBreak/>
        <w:t>FUNDAMENTOS</w:t>
      </w:r>
    </w:p>
    <w:p w14:paraId="438EAE16" w14:textId="53B94DD2" w:rsidR="00F747F6" w:rsidRDefault="00F747F6" w:rsidP="00A23ED3">
      <w:pPr>
        <w:tabs>
          <w:tab w:val="left" w:pos="1134"/>
        </w:tabs>
        <w:spacing w:line="360" w:lineRule="auto"/>
        <w:rPr>
          <w:rFonts w:ascii="Arial" w:hAnsi="Arial" w:cs="Arial"/>
          <w:b/>
          <w:iCs/>
          <w:sz w:val="24"/>
          <w:szCs w:val="24"/>
          <w:u w:val="single"/>
        </w:rPr>
      </w:pPr>
    </w:p>
    <w:p w14:paraId="204FF1B8" w14:textId="77777777" w:rsidR="00157CFA" w:rsidRPr="00157CFA" w:rsidRDefault="00157CFA" w:rsidP="00F45424">
      <w:pPr>
        <w:pStyle w:val="Ttulo3"/>
        <w:spacing w:before="0" w:after="0" w:line="360" w:lineRule="auto"/>
        <w:ind w:firstLine="1134"/>
        <w:rPr>
          <w:rFonts w:ascii="Arial" w:hAnsi="Arial" w:cs="Arial"/>
          <w:b w:val="0"/>
          <w:bCs w:val="0"/>
          <w:sz w:val="24"/>
          <w:szCs w:val="24"/>
          <w:lang w:val="pt-BR" w:eastAsia="pt-BR"/>
        </w:rPr>
      </w:pPr>
      <w:r w:rsidRPr="00157CFA">
        <w:rPr>
          <w:rFonts w:ascii="Arial" w:hAnsi="Arial" w:cs="Arial"/>
          <w:sz w:val="24"/>
          <w:szCs w:val="24"/>
          <w:lang w:val="pt-BR" w:eastAsia="pt-BR"/>
        </w:rPr>
        <w:t>1. Da Possibilidade de Exigência de Marca Específica</w:t>
      </w:r>
    </w:p>
    <w:p w14:paraId="4D0160A1" w14:textId="77777777" w:rsidR="000839DB" w:rsidRDefault="000839DB" w:rsidP="00F45424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</w:rPr>
      </w:pPr>
    </w:p>
    <w:p w14:paraId="35F8D797" w14:textId="0F731536" w:rsidR="00157CFA" w:rsidRPr="00157CFA" w:rsidRDefault="00157CFA" w:rsidP="00F45424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</w:rPr>
      </w:pPr>
      <w:r w:rsidRPr="00157CFA">
        <w:rPr>
          <w:rFonts w:ascii="Arial" w:hAnsi="Arial" w:cs="Arial"/>
        </w:rPr>
        <w:t xml:space="preserve">O </w:t>
      </w:r>
      <w:r w:rsidRPr="00F45424">
        <w:rPr>
          <w:rFonts w:ascii="Arial" w:hAnsi="Arial" w:cs="Arial"/>
        </w:rPr>
        <w:t>art. 4</w:t>
      </w:r>
      <w:r w:rsidR="00F45424">
        <w:rPr>
          <w:rFonts w:ascii="Arial" w:hAnsi="Arial" w:cs="Arial"/>
        </w:rPr>
        <w:t>1</w:t>
      </w:r>
      <w:r w:rsidRPr="00F45424">
        <w:rPr>
          <w:rFonts w:ascii="Arial" w:hAnsi="Arial" w:cs="Arial"/>
        </w:rPr>
        <w:t xml:space="preserve">, </w:t>
      </w:r>
      <w:r w:rsidR="00F45424">
        <w:rPr>
          <w:rFonts w:ascii="Arial" w:hAnsi="Arial" w:cs="Arial"/>
        </w:rPr>
        <w:t>I</w:t>
      </w:r>
      <w:r w:rsidRPr="00F45424">
        <w:rPr>
          <w:rFonts w:ascii="Arial" w:hAnsi="Arial" w:cs="Arial"/>
        </w:rPr>
        <w:t>, da Lei nº 14.133/2021</w:t>
      </w:r>
      <w:r w:rsidRPr="00157CFA">
        <w:rPr>
          <w:rFonts w:ascii="Arial" w:hAnsi="Arial" w:cs="Arial"/>
        </w:rPr>
        <w:t xml:space="preserve"> permite a indicação de marca específica quando houver justificativa técnica adequada que demonstre a necessidade da escolha exclusiva para atender ao interesse público.</w:t>
      </w:r>
    </w:p>
    <w:p w14:paraId="26739B17" w14:textId="77777777" w:rsidR="00157CFA" w:rsidRPr="00157CFA" w:rsidRDefault="00157CFA" w:rsidP="00F45424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</w:rPr>
      </w:pPr>
      <w:r w:rsidRPr="00157CFA">
        <w:rPr>
          <w:rFonts w:ascii="Arial" w:hAnsi="Arial" w:cs="Arial"/>
        </w:rPr>
        <w:t>Neste caso, a Justificativa Técnica apresentada pela Administração evidencia que:</w:t>
      </w:r>
    </w:p>
    <w:p w14:paraId="3C119606" w14:textId="77777777" w:rsidR="00157CFA" w:rsidRPr="00157CFA" w:rsidRDefault="00157CFA" w:rsidP="00F45424">
      <w:pPr>
        <w:pStyle w:val="NormalWeb"/>
        <w:numPr>
          <w:ilvl w:val="0"/>
          <w:numId w:val="9"/>
        </w:numPr>
        <w:spacing w:before="0" w:beforeAutospacing="0" w:after="0" w:afterAutospacing="0" w:line="360" w:lineRule="auto"/>
        <w:ind w:left="0" w:firstLine="1134"/>
        <w:jc w:val="both"/>
        <w:rPr>
          <w:rFonts w:ascii="Arial" w:hAnsi="Arial" w:cs="Arial"/>
        </w:rPr>
      </w:pPr>
      <w:r w:rsidRPr="00157CFA">
        <w:rPr>
          <w:rFonts w:ascii="Arial" w:hAnsi="Arial" w:cs="Arial"/>
        </w:rPr>
        <w:t xml:space="preserve">O Município já utiliza </w:t>
      </w:r>
      <w:r w:rsidRPr="00157CFA">
        <w:rPr>
          <w:rFonts w:ascii="Arial" w:hAnsi="Arial" w:cs="Arial"/>
          <w:b/>
          <w:bCs/>
        </w:rPr>
        <w:t>100 licenças ativas da solução Kaspersky</w:t>
      </w:r>
      <w:r w:rsidRPr="00157CFA">
        <w:rPr>
          <w:rFonts w:ascii="Arial" w:hAnsi="Arial" w:cs="Arial"/>
        </w:rPr>
        <w:t>;</w:t>
      </w:r>
    </w:p>
    <w:p w14:paraId="09B547C3" w14:textId="77777777" w:rsidR="00157CFA" w:rsidRPr="00157CFA" w:rsidRDefault="00157CFA" w:rsidP="00F45424">
      <w:pPr>
        <w:pStyle w:val="NormalWeb"/>
        <w:numPr>
          <w:ilvl w:val="0"/>
          <w:numId w:val="9"/>
        </w:numPr>
        <w:spacing w:before="0" w:beforeAutospacing="0" w:after="0" w:afterAutospacing="0" w:line="360" w:lineRule="auto"/>
        <w:ind w:left="0" w:firstLine="1134"/>
        <w:jc w:val="both"/>
        <w:rPr>
          <w:rFonts w:ascii="Arial" w:hAnsi="Arial" w:cs="Arial"/>
        </w:rPr>
      </w:pPr>
      <w:r w:rsidRPr="00157CFA">
        <w:rPr>
          <w:rFonts w:ascii="Arial" w:hAnsi="Arial" w:cs="Arial"/>
        </w:rPr>
        <w:t xml:space="preserve">A aquisição de mais </w:t>
      </w:r>
      <w:r w:rsidRPr="00157CFA">
        <w:rPr>
          <w:rFonts w:ascii="Arial" w:hAnsi="Arial" w:cs="Arial"/>
          <w:b/>
          <w:bCs/>
        </w:rPr>
        <w:t>350 licenças</w:t>
      </w:r>
      <w:r w:rsidRPr="00157CFA">
        <w:rPr>
          <w:rFonts w:ascii="Arial" w:hAnsi="Arial" w:cs="Arial"/>
        </w:rPr>
        <w:t xml:space="preserve"> visa manter a </w:t>
      </w:r>
      <w:r w:rsidRPr="00157CFA">
        <w:rPr>
          <w:rFonts w:ascii="Arial" w:hAnsi="Arial" w:cs="Arial"/>
          <w:b/>
          <w:bCs/>
        </w:rPr>
        <w:t>padronização e integração dos sistemas de segurança</w:t>
      </w:r>
      <w:r w:rsidRPr="00157CFA">
        <w:rPr>
          <w:rFonts w:ascii="Arial" w:hAnsi="Arial" w:cs="Arial"/>
        </w:rPr>
        <w:t>;</w:t>
      </w:r>
    </w:p>
    <w:p w14:paraId="0A8EC6AE" w14:textId="77777777" w:rsidR="00157CFA" w:rsidRPr="00157CFA" w:rsidRDefault="00157CFA" w:rsidP="00F45424">
      <w:pPr>
        <w:pStyle w:val="NormalWeb"/>
        <w:numPr>
          <w:ilvl w:val="0"/>
          <w:numId w:val="9"/>
        </w:numPr>
        <w:spacing w:before="0" w:beforeAutospacing="0" w:after="0" w:afterAutospacing="0" w:line="360" w:lineRule="auto"/>
        <w:ind w:left="0" w:firstLine="1134"/>
        <w:jc w:val="both"/>
        <w:rPr>
          <w:rFonts w:ascii="Arial" w:hAnsi="Arial" w:cs="Arial"/>
        </w:rPr>
      </w:pPr>
      <w:r w:rsidRPr="00157CFA">
        <w:rPr>
          <w:rFonts w:ascii="Arial" w:hAnsi="Arial" w:cs="Arial"/>
        </w:rPr>
        <w:t xml:space="preserve">A migração para outra solução geraria custos adicionais com </w:t>
      </w:r>
      <w:r w:rsidRPr="00157CFA">
        <w:rPr>
          <w:rFonts w:ascii="Arial" w:hAnsi="Arial" w:cs="Arial"/>
          <w:b/>
          <w:bCs/>
        </w:rPr>
        <w:t>reconfiguração, treinamento de servidores e possíveis falhas de segurança</w:t>
      </w:r>
      <w:r w:rsidRPr="00157CFA">
        <w:rPr>
          <w:rFonts w:ascii="Arial" w:hAnsi="Arial" w:cs="Arial"/>
        </w:rPr>
        <w:t>;</w:t>
      </w:r>
    </w:p>
    <w:p w14:paraId="2268B597" w14:textId="77777777" w:rsidR="00157CFA" w:rsidRPr="00157CFA" w:rsidRDefault="00157CFA" w:rsidP="00F45424">
      <w:pPr>
        <w:pStyle w:val="NormalWeb"/>
        <w:numPr>
          <w:ilvl w:val="0"/>
          <w:numId w:val="9"/>
        </w:numPr>
        <w:spacing w:before="0" w:beforeAutospacing="0" w:after="0" w:afterAutospacing="0" w:line="360" w:lineRule="auto"/>
        <w:ind w:left="0" w:firstLine="1134"/>
        <w:jc w:val="both"/>
        <w:rPr>
          <w:rFonts w:ascii="Arial" w:hAnsi="Arial" w:cs="Arial"/>
        </w:rPr>
      </w:pPr>
      <w:r w:rsidRPr="00157CFA">
        <w:rPr>
          <w:rFonts w:ascii="Arial" w:hAnsi="Arial" w:cs="Arial"/>
        </w:rPr>
        <w:t>A Kaspersky possui certificações reconhecidas (</w:t>
      </w:r>
      <w:r w:rsidRPr="00157CFA">
        <w:rPr>
          <w:rFonts w:ascii="Arial" w:hAnsi="Arial" w:cs="Arial"/>
          <w:b/>
          <w:bCs/>
        </w:rPr>
        <w:t xml:space="preserve">AV-Test </w:t>
      </w:r>
      <w:proofErr w:type="spellStart"/>
      <w:r w:rsidRPr="00157CFA">
        <w:rPr>
          <w:rFonts w:ascii="Arial" w:hAnsi="Arial" w:cs="Arial"/>
          <w:b/>
          <w:bCs/>
        </w:rPr>
        <w:t>GmbH</w:t>
      </w:r>
      <w:proofErr w:type="spellEnd"/>
      <w:r w:rsidRPr="00157CFA">
        <w:rPr>
          <w:rFonts w:ascii="Arial" w:hAnsi="Arial" w:cs="Arial"/>
        </w:rPr>
        <w:t>), garantindo a eficiência da solução.</w:t>
      </w:r>
    </w:p>
    <w:p w14:paraId="06646439" w14:textId="1AFE3420" w:rsidR="00150A9A" w:rsidRDefault="00F45424" w:rsidP="00F45424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</w:rPr>
      </w:pPr>
      <w:r w:rsidRPr="00F45424">
        <w:rPr>
          <w:rFonts w:ascii="Arial" w:hAnsi="Arial" w:cs="Arial"/>
        </w:rPr>
        <w:t>O Tribunal de Contas da União, por meio da Decisão nº 1.196/2002, Plenário, encampou o entendimento de que a indicação da marca é admissível para fins de padronização, se acompanhada por razões de ordem técnica. Ainda, segundo a corte de contas federa</w:t>
      </w:r>
      <w:r w:rsidR="00150A9A">
        <w:rPr>
          <w:rFonts w:ascii="Arial" w:hAnsi="Arial" w:cs="Arial"/>
        </w:rPr>
        <w:t>l</w:t>
      </w:r>
      <w:r w:rsidRPr="00F45424">
        <w:rPr>
          <w:rFonts w:ascii="Arial" w:hAnsi="Arial" w:cs="Arial"/>
        </w:rPr>
        <w:t xml:space="preserve">: </w:t>
      </w:r>
    </w:p>
    <w:p w14:paraId="2522644D" w14:textId="77777777" w:rsidR="00150A9A" w:rsidRDefault="00150A9A" w:rsidP="00F45424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</w:rPr>
      </w:pPr>
    </w:p>
    <w:p w14:paraId="59EA8C9F" w14:textId="77777777" w:rsidR="00150A9A" w:rsidRPr="00150A9A" w:rsidRDefault="00F45424" w:rsidP="00150A9A">
      <w:pPr>
        <w:pStyle w:val="NormalWeb"/>
        <w:spacing w:before="0" w:beforeAutospacing="0" w:after="0" w:afterAutospacing="0"/>
        <w:ind w:left="2268"/>
        <w:jc w:val="both"/>
        <w:rPr>
          <w:rFonts w:ascii="Arial" w:hAnsi="Arial" w:cs="Arial"/>
          <w:i/>
          <w:iCs/>
          <w:sz w:val="20"/>
          <w:szCs w:val="20"/>
        </w:rPr>
      </w:pPr>
      <w:r w:rsidRPr="00150A9A">
        <w:rPr>
          <w:rFonts w:ascii="Arial" w:hAnsi="Arial" w:cs="Arial"/>
          <w:i/>
          <w:iCs/>
          <w:sz w:val="20"/>
          <w:szCs w:val="20"/>
        </w:rPr>
        <w:t xml:space="preserve">“A indicação de marca somente é aceitável para fins de padronização, quando o objeto possuir características e especificações exclusivas, mediante a apresentação de justificativa fundamentada em razões de ordem técnica” (Acórdão nº 62/2007, Plenário, rel. Min. Marcos </w:t>
      </w:r>
      <w:proofErr w:type="spellStart"/>
      <w:r w:rsidRPr="00150A9A">
        <w:rPr>
          <w:rFonts w:ascii="Arial" w:hAnsi="Arial" w:cs="Arial"/>
          <w:i/>
          <w:iCs/>
          <w:sz w:val="20"/>
          <w:szCs w:val="20"/>
        </w:rPr>
        <w:t>Bemquerer</w:t>
      </w:r>
      <w:proofErr w:type="spellEnd"/>
      <w:r w:rsidRPr="00150A9A">
        <w:rPr>
          <w:rFonts w:ascii="Arial" w:hAnsi="Arial" w:cs="Arial"/>
          <w:i/>
          <w:iCs/>
          <w:sz w:val="20"/>
          <w:szCs w:val="20"/>
        </w:rPr>
        <w:t xml:space="preserve"> Costa); </w:t>
      </w:r>
    </w:p>
    <w:p w14:paraId="2152177B" w14:textId="77777777" w:rsidR="00150A9A" w:rsidRPr="00150A9A" w:rsidRDefault="00150A9A" w:rsidP="00150A9A">
      <w:pPr>
        <w:pStyle w:val="NormalWeb"/>
        <w:spacing w:before="0" w:beforeAutospacing="0" w:after="0" w:afterAutospacing="0"/>
        <w:ind w:left="2268"/>
        <w:jc w:val="both"/>
        <w:rPr>
          <w:rFonts w:ascii="Arial" w:hAnsi="Arial" w:cs="Arial"/>
          <w:i/>
          <w:iCs/>
          <w:sz w:val="20"/>
          <w:szCs w:val="20"/>
        </w:rPr>
      </w:pPr>
    </w:p>
    <w:p w14:paraId="2F8E3FE3" w14:textId="162194B1" w:rsidR="00150A9A" w:rsidRDefault="00F45424" w:rsidP="00150A9A">
      <w:pPr>
        <w:pStyle w:val="NormalWeb"/>
        <w:spacing w:before="0" w:beforeAutospacing="0" w:after="0" w:afterAutospacing="0"/>
        <w:ind w:left="2268"/>
        <w:jc w:val="both"/>
        <w:rPr>
          <w:rFonts w:ascii="Arial" w:hAnsi="Arial" w:cs="Arial"/>
        </w:rPr>
      </w:pPr>
      <w:r w:rsidRPr="00150A9A">
        <w:rPr>
          <w:rFonts w:ascii="Arial" w:hAnsi="Arial" w:cs="Arial"/>
          <w:i/>
          <w:iCs/>
          <w:sz w:val="20"/>
          <w:szCs w:val="20"/>
        </w:rPr>
        <w:t>“A indicação de marca na especificação de produtos de informática pode ser aceita frente ao princípio da padronização previsto no art. 15, inciso O, da Lei nº 8.666/1993, desde que a decisão administrativa que venha a identificar o produto pela sua marca seja circunstanciadamente motivada e demonstre ser essa a opção, em termos técnicos e econômicos, mais vantajosa para a Administração” (Acórdão nº 2.376/2006, Plenário, rel. Min. Marcos Vilaça).</w:t>
      </w:r>
      <w:r w:rsidRPr="00150A9A">
        <w:rPr>
          <w:rFonts w:ascii="Arial" w:hAnsi="Arial" w:cs="Arial"/>
          <w:i/>
          <w:iCs/>
          <w:sz w:val="20"/>
          <w:szCs w:val="20"/>
        </w:rPr>
        <w:t xml:space="preserve"> </w:t>
      </w:r>
    </w:p>
    <w:p w14:paraId="29AE3399" w14:textId="77777777" w:rsidR="00150A9A" w:rsidRDefault="00150A9A" w:rsidP="00F45424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</w:rPr>
      </w:pPr>
    </w:p>
    <w:p w14:paraId="5FD7CB1A" w14:textId="7E47AD27" w:rsidR="00163A9A" w:rsidRPr="00163A9A" w:rsidRDefault="00163A9A" w:rsidP="00F45424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</w:rPr>
        <w:t>Não podemos deixar de citar a Súmula nº 270/2021 do Tribunal de Contas da União é bem clara ao afirmar que “</w:t>
      </w:r>
      <w:r w:rsidRPr="00163A9A">
        <w:rPr>
          <w:rFonts w:ascii="Arial" w:hAnsi="Arial" w:cs="Arial"/>
          <w:i/>
          <w:iCs/>
        </w:rPr>
        <w:t>Em licitações referentes a compras, inclusive de softwares, é possível a indicação de marca, desde que seja estritamente necessária para atender exigências de padronização e que haja prévia justificação</w:t>
      </w:r>
      <w:r>
        <w:rPr>
          <w:rFonts w:ascii="Arial" w:hAnsi="Arial" w:cs="Arial"/>
        </w:rPr>
        <w:t>”</w:t>
      </w:r>
      <w:r w:rsidRPr="00163A9A">
        <w:rPr>
          <w:rFonts w:ascii="Arial" w:hAnsi="Arial" w:cs="Arial"/>
        </w:rPr>
        <w:t>.</w:t>
      </w:r>
    </w:p>
    <w:p w14:paraId="2281D842" w14:textId="749792A9" w:rsidR="00150A9A" w:rsidRDefault="00150A9A" w:rsidP="00F45424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</w:rPr>
      </w:pPr>
      <w:r w:rsidRPr="00150A9A">
        <w:rPr>
          <w:rFonts w:ascii="Arial" w:hAnsi="Arial" w:cs="Arial"/>
        </w:rPr>
        <w:lastRenderedPageBreak/>
        <w:t>A Lei nº 14.133/21 segue, rigorosamente, essa linha de raciocínio.</w:t>
      </w:r>
      <w:r>
        <w:rPr>
          <w:rFonts w:ascii="Arial" w:hAnsi="Arial" w:cs="Arial"/>
        </w:rPr>
        <w:t xml:space="preserve"> O</w:t>
      </w:r>
      <w:r w:rsidRPr="00150A9A">
        <w:rPr>
          <w:rFonts w:ascii="Arial" w:hAnsi="Arial" w:cs="Arial"/>
        </w:rPr>
        <w:t xml:space="preserve"> art. 41, inciso I prevê a indicação de marca em caráter excepcional, desde que formalmente justificada, em quatro hipóteses, entre elas, “em decorrência da necessidade de padronização do objeto”. A doutrina já entendia, com fundamento na Lei nº 8.666/93, que a aquisição de produto de marca determinada, com exclusão de similares, era possível nesta situação, cabendo à Administração demonstrar que a adoção da marca busca apenas atender o interesse público, afastando as predileções ou aversões pessoais do administrador.</w:t>
      </w:r>
      <w:r>
        <w:rPr>
          <w:rFonts w:ascii="Arial" w:hAnsi="Arial" w:cs="Arial"/>
        </w:rPr>
        <w:t xml:space="preserve"> </w:t>
      </w:r>
    </w:p>
    <w:p w14:paraId="24060579" w14:textId="6A522362" w:rsidR="00157CFA" w:rsidRPr="00157CFA" w:rsidRDefault="00157CFA" w:rsidP="00F45424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</w:rPr>
      </w:pPr>
      <w:r w:rsidRPr="00157CFA">
        <w:rPr>
          <w:rFonts w:ascii="Arial" w:hAnsi="Arial" w:cs="Arial"/>
        </w:rPr>
        <w:t xml:space="preserve">Assim, a manutenção da exigência da solução Kaspersky está </w:t>
      </w:r>
      <w:r w:rsidRPr="00157CFA">
        <w:rPr>
          <w:rFonts w:ascii="Arial" w:hAnsi="Arial" w:cs="Arial"/>
          <w:b/>
          <w:bCs/>
        </w:rPr>
        <w:t>fundamentada em critérios técnicos e operacionais</w:t>
      </w:r>
      <w:r w:rsidRPr="00157CFA">
        <w:rPr>
          <w:rFonts w:ascii="Arial" w:hAnsi="Arial" w:cs="Arial"/>
        </w:rPr>
        <w:t>, não havendo irregularidade.</w:t>
      </w:r>
    </w:p>
    <w:p w14:paraId="160CBAD1" w14:textId="6524CB32" w:rsidR="00157CFA" w:rsidRPr="00157CFA" w:rsidRDefault="00157CFA" w:rsidP="00F45424">
      <w:pPr>
        <w:spacing w:line="360" w:lineRule="auto"/>
        <w:ind w:firstLine="1134"/>
        <w:rPr>
          <w:rFonts w:ascii="Arial" w:hAnsi="Arial" w:cs="Arial"/>
          <w:sz w:val="24"/>
          <w:szCs w:val="24"/>
        </w:rPr>
      </w:pPr>
    </w:p>
    <w:p w14:paraId="01679ED3" w14:textId="77777777" w:rsidR="00157CFA" w:rsidRPr="00157CFA" w:rsidRDefault="00157CFA" w:rsidP="00F45424">
      <w:pPr>
        <w:pStyle w:val="Ttulo3"/>
        <w:spacing w:before="0" w:after="0" w:line="360" w:lineRule="auto"/>
        <w:ind w:firstLine="1134"/>
        <w:rPr>
          <w:rFonts w:ascii="Arial" w:hAnsi="Arial" w:cs="Arial"/>
          <w:b w:val="0"/>
          <w:bCs w:val="0"/>
          <w:sz w:val="24"/>
          <w:szCs w:val="24"/>
          <w:lang w:val="pt-BR" w:eastAsia="pt-BR"/>
        </w:rPr>
      </w:pPr>
      <w:r w:rsidRPr="00157CFA">
        <w:rPr>
          <w:rFonts w:ascii="Arial" w:hAnsi="Arial" w:cs="Arial"/>
          <w:sz w:val="24"/>
          <w:szCs w:val="24"/>
          <w:lang w:val="pt-BR" w:eastAsia="pt-BR"/>
        </w:rPr>
        <w:t>2. Dos Princípios da Economicidade e Eficiência</w:t>
      </w:r>
    </w:p>
    <w:p w14:paraId="61D811B0" w14:textId="77777777" w:rsidR="00163A9A" w:rsidRDefault="00163A9A" w:rsidP="00F45424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</w:rPr>
      </w:pPr>
    </w:p>
    <w:p w14:paraId="7F44AF48" w14:textId="1ECAB6EB" w:rsidR="00157CFA" w:rsidRDefault="00157CFA" w:rsidP="00F45424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</w:rPr>
      </w:pPr>
      <w:r w:rsidRPr="0049128C">
        <w:rPr>
          <w:rFonts w:ascii="Arial" w:hAnsi="Arial" w:cs="Arial"/>
        </w:rPr>
        <w:t xml:space="preserve">O princípio da economicidade, previsto no art. </w:t>
      </w:r>
      <w:r w:rsidR="00D02454" w:rsidRPr="0049128C">
        <w:rPr>
          <w:rFonts w:ascii="Arial" w:hAnsi="Arial" w:cs="Arial"/>
        </w:rPr>
        <w:t xml:space="preserve">5º </w:t>
      </w:r>
      <w:r w:rsidRPr="0049128C">
        <w:rPr>
          <w:rFonts w:ascii="Arial" w:hAnsi="Arial" w:cs="Arial"/>
        </w:rPr>
        <w:t>da Lei nº 14.133/2021, exige que a Administração pública busque a solução mais vantajosa, considerando o custo-benefício global da contratação</w:t>
      </w:r>
      <w:r w:rsidRPr="00157CFA">
        <w:rPr>
          <w:rFonts w:ascii="Arial" w:hAnsi="Arial" w:cs="Arial"/>
        </w:rPr>
        <w:t xml:space="preserve"> e não apenas o menor preço unitário.</w:t>
      </w:r>
    </w:p>
    <w:p w14:paraId="1E0FAFF2" w14:textId="77777777" w:rsidR="00A2637B" w:rsidRDefault="00A2637B" w:rsidP="00A2637B">
      <w:pPr>
        <w:shd w:val="clear" w:color="auto" w:fill="FFFFFF"/>
        <w:tabs>
          <w:tab w:val="clear" w:pos="1418"/>
        </w:tabs>
        <w:spacing w:line="360" w:lineRule="auto"/>
        <w:ind w:firstLine="1134"/>
        <w:rPr>
          <w:rFonts w:ascii="Arial" w:hAnsi="Arial" w:cs="Arial"/>
          <w:sz w:val="24"/>
          <w:szCs w:val="24"/>
        </w:rPr>
      </w:pPr>
      <w:r w:rsidRPr="00A2637B">
        <w:rPr>
          <w:rFonts w:ascii="Arial" w:hAnsi="Arial" w:cs="Arial"/>
          <w:sz w:val="24"/>
          <w:szCs w:val="24"/>
        </w:rPr>
        <w:t>O princípio da economicidade em licitações públicas visa minimizar os gastos do governo sem comprometer a qualidade. É um princípio de ordem pública que busca evitar desperdícios e gastos desnecessários. </w:t>
      </w:r>
    </w:p>
    <w:p w14:paraId="0D9641E4" w14:textId="2699F854" w:rsidR="00A2637B" w:rsidRPr="00A2637B" w:rsidRDefault="00A2637B" w:rsidP="00AA571F">
      <w:pPr>
        <w:shd w:val="clear" w:color="auto" w:fill="FFFFFF"/>
        <w:tabs>
          <w:tab w:val="clear" w:pos="1418"/>
        </w:tabs>
        <w:spacing w:line="360" w:lineRule="auto"/>
        <w:ind w:firstLine="1134"/>
        <w:rPr>
          <w:rFonts w:ascii="Arial" w:hAnsi="Arial" w:cs="Arial"/>
          <w:sz w:val="24"/>
          <w:szCs w:val="24"/>
        </w:rPr>
      </w:pPr>
      <w:r w:rsidRPr="00A2637B">
        <w:rPr>
          <w:rFonts w:ascii="Arial" w:hAnsi="Arial" w:cs="Arial"/>
          <w:sz w:val="24"/>
          <w:szCs w:val="24"/>
        </w:rPr>
        <w:t>Na análise da economicidade, considera-se a relação custo-benefício da solução a contratar</w:t>
      </w:r>
      <w:r w:rsidR="00AA571F">
        <w:rPr>
          <w:rFonts w:ascii="Arial" w:hAnsi="Arial" w:cs="Arial"/>
          <w:sz w:val="24"/>
          <w:szCs w:val="24"/>
        </w:rPr>
        <w:t xml:space="preserve">, devendo ser considerado </w:t>
      </w:r>
      <w:r w:rsidRPr="00A2637B">
        <w:rPr>
          <w:rFonts w:ascii="Arial" w:hAnsi="Arial" w:cs="Arial"/>
          <w:sz w:val="24"/>
          <w:szCs w:val="24"/>
        </w:rPr>
        <w:t>o gasto necessário para implantar a solução com os resultados esperados</w:t>
      </w:r>
      <w:r w:rsidR="00AA571F">
        <w:rPr>
          <w:rFonts w:ascii="Arial" w:hAnsi="Arial" w:cs="Arial"/>
          <w:sz w:val="24"/>
          <w:szCs w:val="24"/>
        </w:rPr>
        <w:t xml:space="preserve">, tudo isso atrelado </w:t>
      </w:r>
      <w:r w:rsidRPr="00A2637B">
        <w:rPr>
          <w:rFonts w:ascii="Arial" w:hAnsi="Arial" w:cs="Arial"/>
          <w:sz w:val="24"/>
          <w:szCs w:val="24"/>
        </w:rPr>
        <w:t>ao interesse público envolvido</w:t>
      </w:r>
      <w:r w:rsidR="00AA571F">
        <w:rPr>
          <w:rFonts w:ascii="Arial" w:hAnsi="Arial" w:cs="Arial"/>
          <w:sz w:val="24"/>
          <w:szCs w:val="24"/>
        </w:rPr>
        <w:t>.</w:t>
      </w:r>
    </w:p>
    <w:p w14:paraId="7BFCE539" w14:textId="00E16C1D" w:rsidR="00A2637B" w:rsidRPr="00A2637B" w:rsidRDefault="00A2637B" w:rsidP="00C307F8">
      <w:pPr>
        <w:shd w:val="clear" w:color="auto" w:fill="FFFFFF"/>
        <w:tabs>
          <w:tab w:val="clear" w:pos="1418"/>
        </w:tabs>
        <w:spacing w:line="360" w:lineRule="auto"/>
        <w:ind w:firstLine="1134"/>
        <w:rPr>
          <w:rFonts w:ascii="Arial" w:hAnsi="Arial" w:cs="Arial"/>
          <w:sz w:val="24"/>
          <w:szCs w:val="24"/>
        </w:rPr>
      </w:pPr>
      <w:r w:rsidRPr="00A2637B">
        <w:rPr>
          <w:rFonts w:ascii="Arial" w:hAnsi="Arial" w:cs="Arial"/>
          <w:sz w:val="24"/>
          <w:szCs w:val="24"/>
        </w:rPr>
        <w:t xml:space="preserve">O princípio da economicidade está relacionado à racionalidade e otimização </w:t>
      </w:r>
      <w:r w:rsidR="00C307F8">
        <w:rPr>
          <w:rFonts w:ascii="Arial" w:hAnsi="Arial" w:cs="Arial"/>
          <w:sz w:val="24"/>
          <w:szCs w:val="24"/>
        </w:rPr>
        <w:t>dos recursos</w:t>
      </w:r>
      <w:r w:rsidRPr="00A2637B">
        <w:rPr>
          <w:rFonts w:ascii="Arial" w:hAnsi="Arial" w:cs="Arial"/>
          <w:sz w:val="24"/>
          <w:szCs w:val="24"/>
        </w:rPr>
        <w:t xml:space="preserve"> financeiros</w:t>
      </w:r>
      <w:r w:rsidR="00C307F8">
        <w:rPr>
          <w:rFonts w:ascii="Arial" w:hAnsi="Arial" w:cs="Arial"/>
          <w:sz w:val="24"/>
          <w:szCs w:val="24"/>
        </w:rPr>
        <w:t>, c</w:t>
      </w:r>
      <w:r w:rsidRPr="00A2637B">
        <w:rPr>
          <w:rFonts w:ascii="Arial" w:hAnsi="Arial" w:cs="Arial"/>
          <w:sz w:val="24"/>
          <w:szCs w:val="24"/>
        </w:rPr>
        <w:t>orresponde a uma análise de otimização de custos para os melhores benefícios</w:t>
      </w:r>
      <w:r w:rsidR="00C307F8">
        <w:rPr>
          <w:rFonts w:ascii="Arial" w:hAnsi="Arial" w:cs="Arial"/>
          <w:sz w:val="24"/>
          <w:szCs w:val="24"/>
        </w:rPr>
        <w:t xml:space="preserve"> em</w:t>
      </w:r>
      <w:r w:rsidRPr="00A2637B">
        <w:rPr>
          <w:rFonts w:ascii="Arial" w:hAnsi="Arial" w:cs="Arial"/>
          <w:sz w:val="24"/>
          <w:szCs w:val="24"/>
        </w:rPr>
        <w:t xml:space="preserve"> uma das dimensões da eficiência</w:t>
      </w:r>
      <w:r w:rsidR="00C307F8">
        <w:rPr>
          <w:rFonts w:ascii="Arial" w:hAnsi="Arial" w:cs="Arial"/>
          <w:sz w:val="24"/>
          <w:szCs w:val="24"/>
        </w:rPr>
        <w:t xml:space="preserve">. </w:t>
      </w:r>
      <w:r w:rsidRPr="00A2637B">
        <w:rPr>
          <w:rFonts w:ascii="Arial" w:hAnsi="Arial" w:cs="Arial"/>
          <w:sz w:val="24"/>
          <w:szCs w:val="24"/>
        </w:rPr>
        <w:t>A economicidade significa o dever de ser eficiente</w:t>
      </w:r>
      <w:r w:rsidR="00C307F8">
        <w:rPr>
          <w:rFonts w:ascii="Arial" w:hAnsi="Arial" w:cs="Arial"/>
          <w:sz w:val="24"/>
          <w:szCs w:val="24"/>
        </w:rPr>
        <w:t>.</w:t>
      </w:r>
    </w:p>
    <w:p w14:paraId="09056AED" w14:textId="5F87F95A" w:rsidR="00157CFA" w:rsidRPr="00157CFA" w:rsidRDefault="00157CFA" w:rsidP="00F45424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</w:rPr>
      </w:pPr>
      <w:r w:rsidRPr="00157CFA">
        <w:rPr>
          <w:rFonts w:ascii="Arial" w:hAnsi="Arial" w:cs="Arial"/>
        </w:rPr>
        <w:t xml:space="preserve">A Justificativa Técnica </w:t>
      </w:r>
      <w:r w:rsidR="00EC2F77">
        <w:rPr>
          <w:rFonts w:ascii="Arial" w:hAnsi="Arial" w:cs="Arial"/>
        </w:rPr>
        <w:t xml:space="preserve">apresentada neste processo </w:t>
      </w:r>
      <w:r w:rsidRPr="00157CFA">
        <w:rPr>
          <w:rFonts w:ascii="Arial" w:hAnsi="Arial" w:cs="Arial"/>
        </w:rPr>
        <w:t>demonstrou que a troca da solução de segurança resultaria em:</w:t>
      </w:r>
    </w:p>
    <w:p w14:paraId="2FE3B83A" w14:textId="77777777" w:rsidR="00157CFA" w:rsidRPr="00157CFA" w:rsidRDefault="00157CFA" w:rsidP="00F45424">
      <w:pPr>
        <w:pStyle w:val="NormalWeb"/>
        <w:numPr>
          <w:ilvl w:val="0"/>
          <w:numId w:val="10"/>
        </w:numPr>
        <w:spacing w:before="0" w:beforeAutospacing="0" w:after="0" w:afterAutospacing="0" w:line="360" w:lineRule="auto"/>
        <w:ind w:left="0" w:firstLine="1134"/>
        <w:jc w:val="both"/>
        <w:rPr>
          <w:rFonts w:ascii="Arial" w:hAnsi="Arial" w:cs="Arial"/>
        </w:rPr>
      </w:pPr>
      <w:r w:rsidRPr="00157CFA">
        <w:rPr>
          <w:rFonts w:ascii="Arial" w:hAnsi="Arial" w:cs="Arial"/>
          <w:b/>
          <w:bCs/>
        </w:rPr>
        <w:t>Custos adicionais</w:t>
      </w:r>
      <w:r w:rsidRPr="00157CFA">
        <w:rPr>
          <w:rFonts w:ascii="Arial" w:hAnsi="Arial" w:cs="Arial"/>
        </w:rPr>
        <w:t xml:space="preserve"> para adaptação dos sistemas e treinamento dos servidores;</w:t>
      </w:r>
    </w:p>
    <w:p w14:paraId="4E1F5067" w14:textId="77777777" w:rsidR="00157CFA" w:rsidRPr="00157CFA" w:rsidRDefault="00157CFA" w:rsidP="00F45424">
      <w:pPr>
        <w:pStyle w:val="NormalWeb"/>
        <w:numPr>
          <w:ilvl w:val="0"/>
          <w:numId w:val="10"/>
        </w:numPr>
        <w:spacing w:before="0" w:beforeAutospacing="0" w:after="0" w:afterAutospacing="0" w:line="360" w:lineRule="auto"/>
        <w:ind w:left="0" w:firstLine="1134"/>
        <w:jc w:val="both"/>
        <w:rPr>
          <w:rFonts w:ascii="Arial" w:hAnsi="Arial" w:cs="Arial"/>
        </w:rPr>
      </w:pPr>
      <w:r w:rsidRPr="00157CFA">
        <w:rPr>
          <w:rFonts w:ascii="Arial" w:hAnsi="Arial" w:cs="Arial"/>
          <w:b/>
          <w:bCs/>
        </w:rPr>
        <w:t>Risco de incompatibilidades</w:t>
      </w:r>
      <w:r w:rsidRPr="00157CFA">
        <w:rPr>
          <w:rFonts w:ascii="Arial" w:hAnsi="Arial" w:cs="Arial"/>
        </w:rPr>
        <w:t xml:space="preserve"> entre as novas ferramentas e a infraestrutura existente;</w:t>
      </w:r>
    </w:p>
    <w:p w14:paraId="225C5643" w14:textId="77777777" w:rsidR="00157CFA" w:rsidRPr="00157CFA" w:rsidRDefault="00157CFA" w:rsidP="00F45424">
      <w:pPr>
        <w:pStyle w:val="NormalWeb"/>
        <w:numPr>
          <w:ilvl w:val="0"/>
          <w:numId w:val="10"/>
        </w:numPr>
        <w:spacing w:before="0" w:beforeAutospacing="0" w:after="0" w:afterAutospacing="0" w:line="360" w:lineRule="auto"/>
        <w:ind w:left="0" w:firstLine="1134"/>
        <w:jc w:val="both"/>
        <w:rPr>
          <w:rFonts w:ascii="Arial" w:hAnsi="Arial" w:cs="Arial"/>
        </w:rPr>
      </w:pPr>
      <w:r w:rsidRPr="00157CFA">
        <w:rPr>
          <w:rFonts w:ascii="Arial" w:hAnsi="Arial" w:cs="Arial"/>
          <w:b/>
          <w:bCs/>
        </w:rPr>
        <w:lastRenderedPageBreak/>
        <w:t>Possível redução da eficácia na segurança cibernética</w:t>
      </w:r>
      <w:r w:rsidRPr="00157CFA">
        <w:rPr>
          <w:rFonts w:ascii="Arial" w:hAnsi="Arial" w:cs="Arial"/>
        </w:rPr>
        <w:t xml:space="preserve"> durante o período de transição.</w:t>
      </w:r>
    </w:p>
    <w:p w14:paraId="4B660FD2" w14:textId="77777777" w:rsidR="00157CFA" w:rsidRPr="00157CFA" w:rsidRDefault="00157CFA" w:rsidP="00F45424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</w:rPr>
      </w:pPr>
      <w:r w:rsidRPr="00157CFA">
        <w:rPr>
          <w:rFonts w:ascii="Arial" w:hAnsi="Arial" w:cs="Arial"/>
        </w:rPr>
        <w:t xml:space="preserve">Diante desses aspectos, a opção pela continuidade da solução Kaspersky está </w:t>
      </w:r>
      <w:r w:rsidRPr="00157CFA">
        <w:rPr>
          <w:rFonts w:ascii="Arial" w:hAnsi="Arial" w:cs="Arial"/>
          <w:b/>
          <w:bCs/>
        </w:rPr>
        <w:t>alinhada com os princípios da economicidade e eficiência</w:t>
      </w:r>
      <w:r w:rsidRPr="00157CFA">
        <w:rPr>
          <w:rFonts w:ascii="Arial" w:hAnsi="Arial" w:cs="Arial"/>
        </w:rPr>
        <w:t>, justificando a escolha exclusiva.</w:t>
      </w:r>
    </w:p>
    <w:p w14:paraId="2579D012" w14:textId="2E33AC1C" w:rsidR="00157CFA" w:rsidRPr="00157CFA" w:rsidRDefault="00157CFA" w:rsidP="00F45424">
      <w:pPr>
        <w:spacing w:line="360" w:lineRule="auto"/>
        <w:ind w:firstLine="1134"/>
        <w:rPr>
          <w:rFonts w:ascii="Arial" w:hAnsi="Arial" w:cs="Arial"/>
          <w:sz w:val="24"/>
          <w:szCs w:val="24"/>
        </w:rPr>
      </w:pPr>
    </w:p>
    <w:p w14:paraId="4D3001C7" w14:textId="341857B0" w:rsidR="00157CFA" w:rsidRDefault="00157CFA" w:rsidP="00F45424">
      <w:pPr>
        <w:pStyle w:val="Ttulo3"/>
        <w:spacing w:before="0" w:after="0" w:line="360" w:lineRule="auto"/>
        <w:ind w:firstLine="1134"/>
        <w:rPr>
          <w:rFonts w:ascii="Arial" w:hAnsi="Arial" w:cs="Arial"/>
          <w:sz w:val="24"/>
          <w:szCs w:val="24"/>
          <w:lang w:val="pt-BR" w:eastAsia="pt-BR"/>
        </w:rPr>
      </w:pPr>
      <w:r w:rsidRPr="00157CFA">
        <w:rPr>
          <w:rFonts w:ascii="Arial" w:hAnsi="Arial" w:cs="Arial"/>
          <w:sz w:val="24"/>
          <w:szCs w:val="24"/>
          <w:lang w:val="pt-BR" w:eastAsia="pt-BR"/>
        </w:rPr>
        <w:t>3. Da Competitividade e Isonomia</w:t>
      </w:r>
    </w:p>
    <w:p w14:paraId="24E8D202" w14:textId="77777777" w:rsidR="00053E28" w:rsidRPr="00053E28" w:rsidRDefault="00053E28" w:rsidP="00053E28"/>
    <w:p w14:paraId="45C114D2" w14:textId="77777777" w:rsidR="00157CFA" w:rsidRPr="00157CFA" w:rsidRDefault="00157CFA" w:rsidP="00F45424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</w:rPr>
      </w:pPr>
      <w:r w:rsidRPr="00157CFA">
        <w:rPr>
          <w:rFonts w:ascii="Arial" w:hAnsi="Arial" w:cs="Arial"/>
        </w:rPr>
        <w:t xml:space="preserve">Ainda que a impugnação alegue que a exigência da marca </w:t>
      </w:r>
      <w:r w:rsidRPr="00157CFA">
        <w:rPr>
          <w:rFonts w:ascii="Arial" w:hAnsi="Arial" w:cs="Arial"/>
          <w:b/>
          <w:bCs/>
        </w:rPr>
        <w:t>restringe a competição</w:t>
      </w:r>
      <w:r w:rsidRPr="00157CFA">
        <w:rPr>
          <w:rFonts w:ascii="Arial" w:hAnsi="Arial" w:cs="Arial"/>
        </w:rPr>
        <w:t xml:space="preserve">, observa-se que </w:t>
      </w:r>
      <w:r w:rsidRPr="00157CFA">
        <w:rPr>
          <w:rFonts w:ascii="Arial" w:hAnsi="Arial" w:cs="Arial"/>
          <w:b/>
          <w:bCs/>
        </w:rPr>
        <w:t>a concorrência foi mantida</w:t>
      </w:r>
      <w:r w:rsidRPr="00157CFA">
        <w:rPr>
          <w:rFonts w:ascii="Arial" w:hAnsi="Arial" w:cs="Arial"/>
        </w:rPr>
        <w:t xml:space="preserve"> dentro do universo de distribuidores e revendedores da solução Kaspersky, assegurando a obtenção da proposta mais vantajosa.</w:t>
      </w:r>
    </w:p>
    <w:p w14:paraId="4B695983" w14:textId="77777777" w:rsidR="00157CFA" w:rsidRPr="00157CFA" w:rsidRDefault="00157CFA" w:rsidP="00F45424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</w:rPr>
      </w:pPr>
      <w:r w:rsidRPr="00157CFA">
        <w:rPr>
          <w:rFonts w:ascii="Arial" w:hAnsi="Arial" w:cs="Arial"/>
        </w:rPr>
        <w:t>Portanto, não há violação ao princípio da isonomia, pois a exigência não decorre de preferência arbitrária, mas sim da necessidade de manter a segurança, a integração e a economicidade da solução.</w:t>
      </w:r>
    </w:p>
    <w:p w14:paraId="735F8762" w14:textId="77777777" w:rsidR="001B5DB8" w:rsidRPr="00FE5CF4" w:rsidRDefault="001B5DB8" w:rsidP="00FE5CF4">
      <w:pPr>
        <w:tabs>
          <w:tab w:val="left" w:pos="1134"/>
        </w:tabs>
        <w:spacing w:line="360" w:lineRule="auto"/>
        <w:rPr>
          <w:rFonts w:ascii="Arial" w:hAnsi="Arial" w:cs="Arial"/>
          <w:sz w:val="24"/>
          <w:szCs w:val="24"/>
        </w:rPr>
      </w:pPr>
    </w:p>
    <w:p w14:paraId="43522984" w14:textId="44127DF5" w:rsidR="00503A2C" w:rsidRDefault="00503A2C" w:rsidP="00A23ED3">
      <w:pPr>
        <w:pStyle w:val="PargrafodaLista"/>
        <w:widowControl w:val="0"/>
        <w:tabs>
          <w:tab w:val="left" w:pos="827"/>
          <w:tab w:val="left" w:pos="1134"/>
        </w:tabs>
        <w:autoSpaceDE w:val="0"/>
        <w:autoSpaceDN w:val="0"/>
        <w:spacing w:after="0" w:line="360" w:lineRule="auto"/>
        <w:ind w:left="0"/>
        <w:contextualSpacing w:val="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A23ED3">
        <w:rPr>
          <w:rFonts w:ascii="Arial" w:hAnsi="Arial" w:cs="Arial"/>
          <w:b/>
          <w:sz w:val="24"/>
          <w:szCs w:val="24"/>
          <w:u w:val="single"/>
        </w:rPr>
        <w:t>CONCLUSÃ</w:t>
      </w:r>
      <w:r w:rsidR="00A23ED3" w:rsidRPr="00A23ED3">
        <w:rPr>
          <w:rFonts w:ascii="Arial" w:hAnsi="Arial" w:cs="Arial"/>
          <w:b/>
          <w:sz w:val="24"/>
          <w:szCs w:val="24"/>
          <w:u w:val="single"/>
        </w:rPr>
        <w:t>O</w:t>
      </w:r>
    </w:p>
    <w:p w14:paraId="1476EF35" w14:textId="77777777" w:rsidR="000A1F8A" w:rsidRPr="00A23ED3" w:rsidRDefault="000A1F8A" w:rsidP="00A23ED3">
      <w:pPr>
        <w:pStyle w:val="PargrafodaLista"/>
        <w:widowControl w:val="0"/>
        <w:tabs>
          <w:tab w:val="left" w:pos="827"/>
          <w:tab w:val="left" w:pos="1134"/>
        </w:tabs>
        <w:autoSpaceDE w:val="0"/>
        <w:autoSpaceDN w:val="0"/>
        <w:spacing w:after="0" w:line="360" w:lineRule="auto"/>
        <w:ind w:left="0"/>
        <w:contextualSpacing w:val="0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1213557B" w14:textId="77777777" w:rsidR="00163A9A" w:rsidRPr="00163A9A" w:rsidRDefault="00163A9A" w:rsidP="00163A9A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</w:rPr>
      </w:pPr>
      <w:r w:rsidRPr="00163A9A">
        <w:rPr>
          <w:rFonts w:ascii="Arial" w:hAnsi="Arial" w:cs="Arial"/>
        </w:rPr>
        <w:t xml:space="preserve">Diante da Justificativa Técnica apresentada e com base nos princípios da economicidade, eficiência e segurança da Administração Pública, </w:t>
      </w:r>
      <w:r w:rsidRPr="00163A9A">
        <w:rPr>
          <w:rFonts w:ascii="Arial" w:hAnsi="Arial" w:cs="Arial"/>
          <w:b/>
          <w:bCs/>
        </w:rPr>
        <w:t>opino pelo não acolhimento da impugnação e pela continuidade do certame na forma proposta</w:t>
      </w:r>
      <w:r w:rsidRPr="00163A9A">
        <w:rPr>
          <w:rFonts w:ascii="Arial" w:hAnsi="Arial" w:cs="Arial"/>
        </w:rPr>
        <w:t xml:space="preserve">, mantendo a exigência da solução Kaspersky </w:t>
      </w:r>
      <w:proofErr w:type="spellStart"/>
      <w:r w:rsidRPr="00163A9A">
        <w:rPr>
          <w:rFonts w:ascii="Arial" w:hAnsi="Arial" w:cs="Arial"/>
        </w:rPr>
        <w:t>Endpoint</w:t>
      </w:r>
      <w:proofErr w:type="spellEnd"/>
      <w:r w:rsidRPr="00163A9A">
        <w:rPr>
          <w:rFonts w:ascii="Arial" w:hAnsi="Arial" w:cs="Arial"/>
        </w:rPr>
        <w:t xml:space="preserve"> Security Cloud.</w:t>
      </w:r>
    </w:p>
    <w:p w14:paraId="49213108" w14:textId="5B9029CD" w:rsidR="00E0263A" w:rsidRPr="004D2DC9" w:rsidRDefault="005B51CE" w:rsidP="00163A9A">
      <w:pPr>
        <w:tabs>
          <w:tab w:val="left" w:pos="1134"/>
        </w:tabs>
        <w:spacing w:line="360" w:lineRule="auto"/>
        <w:ind w:firstLine="1134"/>
        <w:rPr>
          <w:rFonts w:ascii="Arial" w:hAnsi="Arial" w:cs="Arial"/>
          <w:sz w:val="24"/>
          <w:szCs w:val="24"/>
        </w:rPr>
      </w:pPr>
      <w:r w:rsidRPr="004D2DC9">
        <w:rPr>
          <w:rFonts w:ascii="Arial" w:hAnsi="Arial" w:cs="Arial"/>
          <w:sz w:val="24"/>
          <w:szCs w:val="24"/>
        </w:rPr>
        <w:t>Este é o parecer s.m.j.</w:t>
      </w:r>
    </w:p>
    <w:p w14:paraId="1962E211" w14:textId="4C323C8E" w:rsidR="00F532F0" w:rsidRDefault="00E0263A" w:rsidP="00906CA8">
      <w:pPr>
        <w:tabs>
          <w:tab w:val="left" w:pos="1134"/>
        </w:tabs>
        <w:spacing w:line="360" w:lineRule="auto"/>
        <w:ind w:firstLine="993"/>
        <w:jc w:val="right"/>
        <w:rPr>
          <w:rFonts w:ascii="Arial" w:hAnsi="Arial" w:cs="Arial"/>
          <w:sz w:val="24"/>
          <w:szCs w:val="24"/>
        </w:rPr>
      </w:pPr>
      <w:r w:rsidRPr="004D2DC9">
        <w:rPr>
          <w:rFonts w:ascii="Arial" w:hAnsi="Arial" w:cs="Arial"/>
          <w:sz w:val="24"/>
          <w:szCs w:val="24"/>
        </w:rPr>
        <w:tab/>
        <w:t xml:space="preserve">Presidente Olegário, </w:t>
      </w:r>
      <w:r w:rsidR="00C7363E">
        <w:rPr>
          <w:rFonts w:ascii="Arial" w:hAnsi="Arial" w:cs="Arial"/>
          <w:sz w:val="24"/>
          <w:szCs w:val="24"/>
        </w:rPr>
        <w:t>20 de março de 2025</w:t>
      </w:r>
      <w:r w:rsidR="00E35FA3" w:rsidRPr="004D2DC9">
        <w:rPr>
          <w:rFonts w:ascii="Arial" w:hAnsi="Arial" w:cs="Arial"/>
          <w:sz w:val="24"/>
          <w:szCs w:val="24"/>
        </w:rPr>
        <w:t>.</w:t>
      </w:r>
    </w:p>
    <w:p w14:paraId="56B4A952" w14:textId="12DD5F35" w:rsidR="00906CA8" w:rsidRDefault="00906CA8" w:rsidP="00906CA8">
      <w:pPr>
        <w:tabs>
          <w:tab w:val="left" w:pos="1134"/>
        </w:tabs>
        <w:spacing w:line="360" w:lineRule="auto"/>
        <w:ind w:firstLine="993"/>
        <w:jc w:val="right"/>
        <w:rPr>
          <w:rFonts w:ascii="Arial" w:hAnsi="Arial" w:cs="Arial"/>
          <w:sz w:val="24"/>
          <w:szCs w:val="24"/>
        </w:rPr>
      </w:pPr>
    </w:p>
    <w:p w14:paraId="519A35D1" w14:textId="77777777" w:rsidR="00FA5715" w:rsidRDefault="00FA5715" w:rsidP="00906CA8">
      <w:pPr>
        <w:tabs>
          <w:tab w:val="left" w:pos="1134"/>
        </w:tabs>
        <w:spacing w:line="360" w:lineRule="auto"/>
        <w:ind w:firstLine="993"/>
        <w:jc w:val="right"/>
        <w:rPr>
          <w:rFonts w:ascii="Arial" w:hAnsi="Arial" w:cs="Arial"/>
          <w:sz w:val="24"/>
          <w:szCs w:val="24"/>
        </w:rPr>
      </w:pPr>
    </w:p>
    <w:p w14:paraId="7EAE52F3" w14:textId="00840709" w:rsidR="00A23ED3" w:rsidRPr="004D2DC9" w:rsidRDefault="000A1F8A" w:rsidP="00C4461D">
      <w:pPr>
        <w:tabs>
          <w:tab w:val="left" w:pos="1134"/>
        </w:tabs>
        <w:jc w:val="center"/>
        <w:rPr>
          <w:rFonts w:ascii="Arial" w:hAnsi="Arial" w:cs="Arial"/>
          <w:sz w:val="24"/>
          <w:szCs w:val="24"/>
        </w:rPr>
      </w:pPr>
      <w:r w:rsidRPr="00A23ED3">
        <w:rPr>
          <w:rFonts w:ascii="Arial" w:hAnsi="Arial" w:cs="Arial"/>
          <w:b/>
          <w:color w:val="000000"/>
          <w:szCs w:val="22"/>
        </w:rPr>
        <w:t>Amely Maria de Almeida Pinheiro</w:t>
      </w:r>
      <w:r w:rsidRPr="00A23ED3">
        <w:rPr>
          <w:rFonts w:ascii="Arial" w:hAnsi="Arial" w:cs="Arial"/>
          <w:color w:val="000000"/>
          <w:szCs w:val="22"/>
        </w:rPr>
        <w:t xml:space="preserve">                    </w:t>
      </w:r>
      <w:r w:rsidRPr="00A23ED3">
        <w:rPr>
          <w:rFonts w:ascii="Arial" w:hAnsi="Arial" w:cs="Arial"/>
          <w:color w:val="000000"/>
          <w:szCs w:val="22"/>
        </w:rPr>
        <w:br/>
        <w:t>Procuradora – OAB/MG 128.148</w:t>
      </w:r>
    </w:p>
    <w:sectPr w:rsidR="00A23ED3" w:rsidRPr="004D2DC9" w:rsidSect="00EE1E63">
      <w:headerReference w:type="default" r:id="rId8"/>
      <w:headerReference w:type="first" r:id="rId9"/>
      <w:pgSz w:w="11907" w:h="16840" w:code="9"/>
      <w:pgMar w:top="851" w:right="1134" w:bottom="709" w:left="1134" w:header="567" w:footer="567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8DBB63" w14:textId="77777777" w:rsidR="00861381" w:rsidRDefault="00861381" w:rsidP="006D5287">
      <w:r>
        <w:separator/>
      </w:r>
    </w:p>
  </w:endnote>
  <w:endnote w:type="continuationSeparator" w:id="0">
    <w:p w14:paraId="0A3CCBF7" w14:textId="77777777" w:rsidR="00861381" w:rsidRDefault="00861381" w:rsidP="006D5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gnet Roundhand">
    <w:altName w:val="Courier New"/>
    <w:charset w:val="00"/>
    <w:family w:val="script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4BE142" w14:textId="77777777" w:rsidR="00861381" w:rsidRDefault="00861381" w:rsidP="006D5287">
      <w:r>
        <w:separator/>
      </w:r>
    </w:p>
  </w:footnote>
  <w:footnote w:type="continuationSeparator" w:id="0">
    <w:p w14:paraId="41ED3375" w14:textId="77777777" w:rsidR="00861381" w:rsidRDefault="00861381" w:rsidP="006D52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9A3348" w14:textId="77777777" w:rsidR="00CD372F" w:rsidRPr="006B52FB" w:rsidRDefault="0093057C" w:rsidP="00CD372F">
    <w:pPr>
      <w:pStyle w:val="Cabealho"/>
      <w:jc w:val="center"/>
    </w:pPr>
    <w:r w:rsidRPr="00B44E46">
      <w:rPr>
        <w:noProof/>
        <w:lang w:val="pt-BR" w:eastAsia="pt-BR"/>
      </w:rPr>
      <w:drawing>
        <wp:inline distT="0" distB="0" distL="0" distR="0" wp14:anchorId="46634490" wp14:editId="694A242C">
          <wp:extent cx="704850" cy="571500"/>
          <wp:effectExtent l="0" t="0" r="0" b="0"/>
          <wp:docPr id="9" name="Imagem 4" descr="Brasão Presidente Olegár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Brasão Presidente Olegár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9AE352F" w14:textId="77777777" w:rsidR="00CD372F" w:rsidRPr="006B52FB" w:rsidRDefault="00CD372F" w:rsidP="00CD372F">
    <w:pPr>
      <w:pStyle w:val="Cabealho"/>
      <w:jc w:val="center"/>
      <w:rPr>
        <w:rFonts w:ascii="Bookman Old Style" w:hAnsi="Bookman Old Style"/>
        <w:b/>
        <w:smallCaps/>
        <w:spacing w:val="20"/>
        <w:szCs w:val="30"/>
      </w:rPr>
    </w:pPr>
    <w:r w:rsidRPr="006B52FB">
      <w:rPr>
        <w:rFonts w:ascii="Bookman Old Style" w:hAnsi="Bookman Old Style"/>
        <w:b/>
        <w:smallCaps/>
        <w:spacing w:val="20"/>
        <w:szCs w:val="30"/>
      </w:rPr>
      <w:t>Município de Presidente Olegário</w:t>
    </w:r>
  </w:p>
  <w:p w14:paraId="5B3B38B8" w14:textId="77777777" w:rsidR="00CD372F" w:rsidRPr="00F92E56" w:rsidRDefault="00CD372F" w:rsidP="00CD372F">
    <w:pPr>
      <w:jc w:val="center"/>
      <w:rPr>
        <w:rFonts w:ascii="Bookman Old Style" w:hAnsi="Bookman Old Style"/>
        <w:b/>
        <w:smallCaps/>
        <w:sz w:val="20"/>
      </w:rPr>
    </w:pPr>
    <w:r w:rsidRPr="00F92E56">
      <w:rPr>
        <w:rFonts w:ascii="Bookman Old Style" w:hAnsi="Bookman Old Style"/>
        <w:b/>
        <w:smallCaps/>
        <w:sz w:val="20"/>
      </w:rPr>
      <w:t>Procuradoria-Geral Do Município</w:t>
    </w:r>
  </w:p>
  <w:p w14:paraId="09FBD339" w14:textId="77777777" w:rsidR="00CD372F" w:rsidRPr="006B52FB" w:rsidRDefault="00CD372F" w:rsidP="00CD372F">
    <w:pPr>
      <w:pStyle w:val="Cabealho"/>
      <w:jc w:val="center"/>
      <w:rPr>
        <w:rFonts w:ascii="Bookman Old Style" w:hAnsi="Bookman Old Style"/>
        <w:sz w:val="16"/>
      </w:rPr>
    </w:pPr>
    <w:r w:rsidRPr="006B52FB">
      <w:rPr>
        <w:rFonts w:ascii="Bookman Old Style" w:hAnsi="Bookman Old Style"/>
        <w:sz w:val="16"/>
      </w:rPr>
      <w:t>Pça Dr. Castilho nº 10, Centro, Presidente Olegário – MG – CEP: 38750-000</w:t>
    </w:r>
  </w:p>
  <w:p w14:paraId="1CE2E629" w14:textId="2713864F" w:rsidR="00CD372F" w:rsidRPr="00B44E46" w:rsidRDefault="000839DB" w:rsidP="00CD372F">
    <w:pPr>
      <w:jc w:val="center"/>
      <w:rPr>
        <w:rFonts w:ascii="Bookman Old Style" w:hAnsi="Bookman Old Style"/>
        <w:sz w:val="2"/>
      </w:rPr>
    </w:pPr>
    <w:hyperlink r:id="rId2" w:history="1">
      <w:r w:rsidR="00776AC4" w:rsidRPr="00FD766C">
        <w:rPr>
          <w:rStyle w:val="Hyperlink"/>
          <w:rFonts w:ascii="Bookman Old Style" w:hAnsi="Bookman Old Style"/>
          <w:sz w:val="20"/>
        </w:rPr>
        <w:t>procuradoria.licitacao@po.mg.gov.br</w:t>
      </w:r>
    </w:hyperlink>
  </w:p>
  <w:p w14:paraId="47A46C11" w14:textId="77777777" w:rsidR="00CD372F" w:rsidRDefault="00CD372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458027" w14:textId="77777777" w:rsidR="00B44E46" w:rsidRPr="006B52FB" w:rsidRDefault="0093057C" w:rsidP="00B44E46">
    <w:pPr>
      <w:pStyle w:val="Cabealho"/>
      <w:jc w:val="center"/>
    </w:pPr>
    <w:r w:rsidRPr="00B44E46"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 wp14:anchorId="5C5AA059" wp14:editId="4ADB40B1">
          <wp:simplePos x="0" y="0"/>
          <wp:positionH relativeFrom="column">
            <wp:posOffset>2708910</wp:posOffset>
          </wp:positionH>
          <wp:positionV relativeFrom="paragraph">
            <wp:posOffset>-226695</wp:posOffset>
          </wp:positionV>
          <wp:extent cx="704850" cy="571500"/>
          <wp:effectExtent l="0" t="0" r="0" b="0"/>
          <wp:wrapTight wrapText="bothSides">
            <wp:wrapPolygon edited="0">
              <wp:start x="0" y="0"/>
              <wp:lineTo x="0" y="20880"/>
              <wp:lineTo x="21016" y="20880"/>
              <wp:lineTo x="21016" y="0"/>
              <wp:lineTo x="0" y="0"/>
            </wp:wrapPolygon>
          </wp:wrapTight>
          <wp:docPr id="10" name="Imagem 10" descr="Brasão Presidente Olegár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Brasão Presidente Olegár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4DD1890" w14:textId="77777777" w:rsidR="00C4461D" w:rsidRDefault="00C4461D" w:rsidP="00B44E46">
    <w:pPr>
      <w:pStyle w:val="Cabealho"/>
      <w:jc w:val="center"/>
      <w:rPr>
        <w:rFonts w:ascii="Bookman Old Style" w:hAnsi="Bookman Old Style"/>
        <w:b/>
        <w:smallCaps/>
        <w:spacing w:val="20"/>
        <w:szCs w:val="30"/>
      </w:rPr>
    </w:pPr>
  </w:p>
  <w:p w14:paraId="7B5242DD" w14:textId="584D9F17" w:rsidR="00B44E46" w:rsidRPr="006B52FB" w:rsidRDefault="00B44E46" w:rsidP="00B44E46">
    <w:pPr>
      <w:pStyle w:val="Cabealho"/>
      <w:jc w:val="center"/>
      <w:rPr>
        <w:rFonts w:ascii="Bookman Old Style" w:hAnsi="Bookman Old Style"/>
        <w:b/>
        <w:smallCaps/>
        <w:spacing w:val="20"/>
        <w:szCs w:val="30"/>
      </w:rPr>
    </w:pPr>
    <w:r w:rsidRPr="006B52FB">
      <w:rPr>
        <w:rFonts w:ascii="Bookman Old Style" w:hAnsi="Bookman Old Style"/>
        <w:b/>
        <w:smallCaps/>
        <w:spacing w:val="20"/>
        <w:szCs w:val="30"/>
      </w:rPr>
      <w:t>Município de Presidente Olegário</w:t>
    </w:r>
  </w:p>
  <w:p w14:paraId="1DDC0B4D" w14:textId="77777777" w:rsidR="00B44E46" w:rsidRPr="00F92E56" w:rsidRDefault="00B44E46" w:rsidP="00B44E46">
    <w:pPr>
      <w:jc w:val="center"/>
      <w:rPr>
        <w:rFonts w:ascii="Bookman Old Style" w:hAnsi="Bookman Old Style"/>
        <w:b/>
        <w:smallCaps/>
        <w:sz w:val="20"/>
      </w:rPr>
    </w:pPr>
    <w:r w:rsidRPr="00F92E56">
      <w:rPr>
        <w:rFonts w:ascii="Bookman Old Style" w:hAnsi="Bookman Old Style"/>
        <w:b/>
        <w:smallCaps/>
        <w:sz w:val="20"/>
      </w:rPr>
      <w:t>Procuradoria-Geral Do Município</w:t>
    </w:r>
  </w:p>
  <w:p w14:paraId="1DAA5BEC" w14:textId="77777777" w:rsidR="00B44E46" w:rsidRPr="006B52FB" w:rsidRDefault="00B44E46" w:rsidP="00B44E46">
    <w:pPr>
      <w:pStyle w:val="Cabealho"/>
      <w:jc w:val="center"/>
      <w:rPr>
        <w:rFonts w:ascii="Bookman Old Style" w:hAnsi="Bookman Old Style"/>
        <w:sz w:val="16"/>
      </w:rPr>
    </w:pPr>
    <w:r w:rsidRPr="006B52FB">
      <w:rPr>
        <w:rFonts w:ascii="Bookman Old Style" w:hAnsi="Bookman Old Style"/>
        <w:sz w:val="16"/>
      </w:rPr>
      <w:t>Pça Dr. Castilho nº 10, Centro, Presidente Olegário – MG – CEP: 38750-000</w:t>
    </w:r>
  </w:p>
  <w:p w14:paraId="2B952322" w14:textId="700D4783" w:rsidR="00D06CFE" w:rsidRDefault="000839DB" w:rsidP="00B44E46">
    <w:pPr>
      <w:jc w:val="center"/>
      <w:rPr>
        <w:rStyle w:val="Hyperlink"/>
        <w:rFonts w:ascii="Bookman Old Style" w:hAnsi="Bookman Old Style"/>
        <w:sz w:val="20"/>
      </w:rPr>
    </w:pPr>
    <w:hyperlink r:id="rId2" w:history="1">
      <w:r w:rsidR="00BF0D1B" w:rsidRPr="00FD766C">
        <w:rPr>
          <w:rStyle w:val="Hyperlink"/>
          <w:rFonts w:ascii="Bookman Old Style" w:hAnsi="Bookman Old Style"/>
          <w:sz w:val="20"/>
        </w:rPr>
        <w:t>procuradoria.licitacao@po.mg.gov.br</w:t>
      </w:r>
    </w:hyperlink>
  </w:p>
  <w:p w14:paraId="487D7230" w14:textId="0F92702F" w:rsidR="00C4461D" w:rsidRDefault="00C4461D" w:rsidP="00B44E46">
    <w:pPr>
      <w:jc w:val="center"/>
      <w:rPr>
        <w:rStyle w:val="Hyperlink"/>
        <w:rFonts w:ascii="Bookman Old Style" w:hAnsi="Bookman Old Style"/>
        <w:sz w:val="20"/>
      </w:rPr>
    </w:pPr>
  </w:p>
  <w:p w14:paraId="7FE67F41" w14:textId="77777777" w:rsidR="00C4461D" w:rsidRPr="00B44E46" w:rsidRDefault="00C4461D" w:rsidP="00B44E46">
    <w:pPr>
      <w:jc w:val="center"/>
      <w:rPr>
        <w:rFonts w:ascii="Bookman Old Style" w:hAnsi="Bookman Old Style"/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2F40F6"/>
    <w:multiLevelType w:val="multilevel"/>
    <w:tmpl w:val="DF461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AD4376"/>
    <w:multiLevelType w:val="multilevel"/>
    <w:tmpl w:val="89CE1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C809E4"/>
    <w:multiLevelType w:val="hybridMultilevel"/>
    <w:tmpl w:val="2702E720"/>
    <w:lvl w:ilvl="0" w:tplc="BADADDB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732254"/>
    <w:multiLevelType w:val="hybridMultilevel"/>
    <w:tmpl w:val="50B4A3CE"/>
    <w:lvl w:ilvl="0" w:tplc="E96A3504">
      <w:start w:val="3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4" w15:restartNumberingAfterBreak="0">
    <w:nsid w:val="39541A50"/>
    <w:multiLevelType w:val="hybridMultilevel"/>
    <w:tmpl w:val="698228FE"/>
    <w:lvl w:ilvl="0" w:tplc="FA22907C">
      <w:start w:val="5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5" w15:restartNumberingAfterBreak="0">
    <w:nsid w:val="3C2D42D7"/>
    <w:multiLevelType w:val="multilevel"/>
    <w:tmpl w:val="0A469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34A3869"/>
    <w:multiLevelType w:val="multilevel"/>
    <w:tmpl w:val="C05C3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C727BFD"/>
    <w:multiLevelType w:val="multilevel"/>
    <w:tmpl w:val="B5343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E450337"/>
    <w:multiLevelType w:val="hybridMultilevel"/>
    <w:tmpl w:val="AFC0CFDE"/>
    <w:lvl w:ilvl="0" w:tplc="6C928AAE">
      <w:start w:val="7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9" w15:restartNumberingAfterBreak="0">
    <w:nsid w:val="6022558D"/>
    <w:multiLevelType w:val="multilevel"/>
    <w:tmpl w:val="AB765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34A4DC8"/>
    <w:multiLevelType w:val="multilevel"/>
    <w:tmpl w:val="76F4E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1E37017"/>
    <w:multiLevelType w:val="multilevel"/>
    <w:tmpl w:val="D70A341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F455E00"/>
    <w:multiLevelType w:val="hybridMultilevel"/>
    <w:tmpl w:val="D240729A"/>
    <w:lvl w:ilvl="0" w:tplc="0674DA16">
      <w:start w:val="1"/>
      <w:numFmt w:val="lowerLetter"/>
      <w:lvlText w:val="%1)"/>
      <w:lvlJc w:val="left"/>
      <w:pPr>
        <w:ind w:left="107" w:hanging="255"/>
      </w:pPr>
      <w:rPr>
        <w:rFonts w:ascii="Arial" w:eastAsia="Arial" w:hAnsi="Arial" w:cs="Arial" w:hint="default"/>
        <w:b/>
        <w:bCs/>
        <w:w w:val="100"/>
        <w:sz w:val="22"/>
        <w:szCs w:val="22"/>
        <w:lang w:val="pt-PT" w:eastAsia="en-US" w:bidi="ar-SA"/>
      </w:rPr>
    </w:lvl>
    <w:lvl w:ilvl="1" w:tplc="3034A438">
      <w:numFmt w:val="bullet"/>
      <w:lvlText w:val="•"/>
      <w:lvlJc w:val="left"/>
      <w:pPr>
        <w:ind w:left="966" w:hanging="140"/>
      </w:pPr>
      <w:rPr>
        <w:rFonts w:ascii="Arial" w:eastAsia="Arial" w:hAnsi="Arial" w:cs="Arial" w:hint="default"/>
        <w:b/>
        <w:bCs/>
        <w:w w:val="100"/>
        <w:sz w:val="22"/>
        <w:szCs w:val="22"/>
        <w:lang w:val="pt-PT" w:eastAsia="en-US" w:bidi="ar-SA"/>
      </w:rPr>
    </w:lvl>
    <w:lvl w:ilvl="2" w:tplc="98FA3A76">
      <w:numFmt w:val="bullet"/>
      <w:lvlText w:val="•"/>
      <w:lvlJc w:val="left"/>
      <w:pPr>
        <w:ind w:left="1975" w:hanging="140"/>
      </w:pPr>
      <w:rPr>
        <w:lang w:val="pt-PT" w:eastAsia="en-US" w:bidi="ar-SA"/>
      </w:rPr>
    </w:lvl>
    <w:lvl w:ilvl="3" w:tplc="3B5A7A28">
      <w:numFmt w:val="bullet"/>
      <w:lvlText w:val="•"/>
      <w:lvlJc w:val="left"/>
      <w:pPr>
        <w:ind w:left="2990" w:hanging="140"/>
      </w:pPr>
      <w:rPr>
        <w:lang w:val="pt-PT" w:eastAsia="en-US" w:bidi="ar-SA"/>
      </w:rPr>
    </w:lvl>
    <w:lvl w:ilvl="4" w:tplc="B5AAD46A">
      <w:numFmt w:val="bullet"/>
      <w:lvlText w:val="•"/>
      <w:lvlJc w:val="left"/>
      <w:pPr>
        <w:ind w:left="4005" w:hanging="140"/>
      </w:pPr>
      <w:rPr>
        <w:lang w:val="pt-PT" w:eastAsia="en-US" w:bidi="ar-SA"/>
      </w:rPr>
    </w:lvl>
    <w:lvl w:ilvl="5" w:tplc="7D00CC10">
      <w:numFmt w:val="bullet"/>
      <w:lvlText w:val="•"/>
      <w:lvlJc w:val="left"/>
      <w:pPr>
        <w:ind w:left="5020" w:hanging="140"/>
      </w:pPr>
      <w:rPr>
        <w:lang w:val="pt-PT" w:eastAsia="en-US" w:bidi="ar-SA"/>
      </w:rPr>
    </w:lvl>
    <w:lvl w:ilvl="6" w:tplc="2306EE26">
      <w:numFmt w:val="bullet"/>
      <w:lvlText w:val="•"/>
      <w:lvlJc w:val="left"/>
      <w:pPr>
        <w:ind w:left="6036" w:hanging="140"/>
      </w:pPr>
      <w:rPr>
        <w:lang w:val="pt-PT" w:eastAsia="en-US" w:bidi="ar-SA"/>
      </w:rPr>
    </w:lvl>
    <w:lvl w:ilvl="7" w:tplc="D00613AE">
      <w:numFmt w:val="bullet"/>
      <w:lvlText w:val="•"/>
      <w:lvlJc w:val="left"/>
      <w:pPr>
        <w:ind w:left="7051" w:hanging="140"/>
      </w:pPr>
      <w:rPr>
        <w:lang w:val="pt-PT" w:eastAsia="en-US" w:bidi="ar-SA"/>
      </w:rPr>
    </w:lvl>
    <w:lvl w:ilvl="8" w:tplc="473C4F62">
      <w:numFmt w:val="bullet"/>
      <w:lvlText w:val="•"/>
      <w:lvlJc w:val="left"/>
      <w:pPr>
        <w:ind w:left="8066" w:hanging="140"/>
      </w:pPr>
      <w:rPr>
        <w:lang w:val="pt-PT" w:eastAsia="en-US" w:bidi="ar-SA"/>
      </w:rPr>
    </w:lvl>
  </w:abstractNum>
  <w:num w:numId="1">
    <w:abstractNumId w:val="2"/>
  </w:num>
  <w:num w:numId="2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4"/>
  </w:num>
  <w:num w:numId="4">
    <w:abstractNumId w:val="3"/>
  </w:num>
  <w:num w:numId="5">
    <w:abstractNumId w:val="8"/>
  </w:num>
  <w:num w:numId="6">
    <w:abstractNumId w:val="11"/>
  </w:num>
  <w:num w:numId="7">
    <w:abstractNumId w:val="10"/>
  </w:num>
  <w:num w:numId="8">
    <w:abstractNumId w:val="9"/>
  </w:num>
  <w:num w:numId="9">
    <w:abstractNumId w:val="0"/>
  </w:num>
  <w:num w:numId="10">
    <w:abstractNumId w:val="7"/>
  </w:num>
  <w:num w:numId="11">
    <w:abstractNumId w:val="5"/>
  </w:num>
  <w:num w:numId="12">
    <w:abstractNumId w:val="6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08"/>
  <w:autoHyphenation/>
  <w:hyphenationZone w:val="425"/>
  <w:drawingGridHorizontalSpacing w:val="165"/>
  <w:drawingGridVerticalSpacing w:val="112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0E5F"/>
    <w:rsid w:val="00005CA6"/>
    <w:rsid w:val="00015AC5"/>
    <w:rsid w:val="00022192"/>
    <w:rsid w:val="00026B31"/>
    <w:rsid w:val="00036BE0"/>
    <w:rsid w:val="0004403A"/>
    <w:rsid w:val="00044E30"/>
    <w:rsid w:val="00053E28"/>
    <w:rsid w:val="00060DFD"/>
    <w:rsid w:val="00072315"/>
    <w:rsid w:val="00075195"/>
    <w:rsid w:val="000821B0"/>
    <w:rsid w:val="000839DB"/>
    <w:rsid w:val="00090C42"/>
    <w:rsid w:val="0009625F"/>
    <w:rsid w:val="00097F03"/>
    <w:rsid w:val="000A1F8A"/>
    <w:rsid w:val="000B48EA"/>
    <w:rsid w:val="000B623D"/>
    <w:rsid w:val="000B7B37"/>
    <w:rsid w:val="000C4F5B"/>
    <w:rsid w:val="000C6158"/>
    <w:rsid w:val="000E3B8F"/>
    <w:rsid w:val="000F2083"/>
    <w:rsid w:val="000F24E3"/>
    <w:rsid w:val="000F2BEC"/>
    <w:rsid w:val="001043BF"/>
    <w:rsid w:val="0011124A"/>
    <w:rsid w:val="00112808"/>
    <w:rsid w:val="00116C19"/>
    <w:rsid w:val="001233B3"/>
    <w:rsid w:val="001328FE"/>
    <w:rsid w:val="00150A9A"/>
    <w:rsid w:val="0015324F"/>
    <w:rsid w:val="00157CFA"/>
    <w:rsid w:val="001603E6"/>
    <w:rsid w:val="00162C05"/>
    <w:rsid w:val="00163A9A"/>
    <w:rsid w:val="00181C53"/>
    <w:rsid w:val="0019061C"/>
    <w:rsid w:val="00193BEF"/>
    <w:rsid w:val="00194E77"/>
    <w:rsid w:val="001A2E0E"/>
    <w:rsid w:val="001B23F8"/>
    <w:rsid w:val="001B5DB8"/>
    <w:rsid w:val="001B632E"/>
    <w:rsid w:val="001C037B"/>
    <w:rsid w:val="001D232F"/>
    <w:rsid w:val="001D332C"/>
    <w:rsid w:val="001D5DAB"/>
    <w:rsid w:val="001E163D"/>
    <w:rsid w:val="001E6EC0"/>
    <w:rsid w:val="001F523A"/>
    <w:rsid w:val="002005D4"/>
    <w:rsid w:val="00200D8A"/>
    <w:rsid w:val="0020403C"/>
    <w:rsid w:val="00220B2F"/>
    <w:rsid w:val="00220EC1"/>
    <w:rsid w:val="00224E41"/>
    <w:rsid w:val="00232D76"/>
    <w:rsid w:val="00250499"/>
    <w:rsid w:val="00254D8B"/>
    <w:rsid w:val="00255CFF"/>
    <w:rsid w:val="00263133"/>
    <w:rsid w:val="00265520"/>
    <w:rsid w:val="0027034B"/>
    <w:rsid w:val="00272EB9"/>
    <w:rsid w:val="0027340C"/>
    <w:rsid w:val="00275740"/>
    <w:rsid w:val="00290D50"/>
    <w:rsid w:val="00291D66"/>
    <w:rsid w:val="002A4ACB"/>
    <w:rsid w:val="002B119B"/>
    <w:rsid w:val="002B6FAF"/>
    <w:rsid w:val="002C762E"/>
    <w:rsid w:val="002D1B92"/>
    <w:rsid w:val="002D3CE7"/>
    <w:rsid w:val="002E7FCB"/>
    <w:rsid w:val="002F4087"/>
    <w:rsid w:val="003014C1"/>
    <w:rsid w:val="00313BE5"/>
    <w:rsid w:val="00322846"/>
    <w:rsid w:val="00335BB5"/>
    <w:rsid w:val="00336DBD"/>
    <w:rsid w:val="0034510D"/>
    <w:rsid w:val="00375150"/>
    <w:rsid w:val="00381C99"/>
    <w:rsid w:val="00393DA0"/>
    <w:rsid w:val="003B408A"/>
    <w:rsid w:val="003C59A6"/>
    <w:rsid w:val="003D78AF"/>
    <w:rsid w:val="003E695E"/>
    <w:rsid w:val="0040031F"/>
    <w:rsid w:val="00400B81"/>
    <w:rsid w:val="00414009"/>
    <w:rsid w:val="00423568"/>
    <w:rsid w:val="0042607F"/>
    <w:rsid w:val="004741D3"/>
    <w:rsid w:val="00484211"/>
    <w:rsid w:val="00490DF8"/>
    <w:rsid w:val="004910A4"/>
    <w:rsid w:val="0049128C"/>
    <w:rsid w:val="00492395"/>
    <w:rsid w:val="004A72D2"/>
    <w:rsid w:val="004C0504"/>
    <w:rsid w:val="004D2DC9"/>
    <w:rsid w:val="004F3F42"/>
    <w:rsid w:val="004F64D9"/>
    <w:rsid w:val="00503A2C"/>
    <w:rsid w:val="005113AF"/>
    <w:rsid w:val="00517C59"/>
    <w:rsid w:val="00530EE2"/>
    <w:rsid w:val="00532D0C"/>
    <w:rsid w:val="00532D3E"/>
    <w:rsid w:val="00533EEB"/>
    <w:rsid w:val="005457CC"/>
    <w:rsid w:val="00552FA3"/>
    <w:rsid w:val="005535BD"/>
    <w:rsid w:val="00555A1C"/>
    <w:rsid w:val="00561DFA"/>
    <w:rsid w:val="005629E5"/>
    <w:rsid w:val="00567EFF"/>
    <w:rsid w:val="0057496F"/>
    <w:rsid w:val="00582578"/>
    <w:rsid w:val="005A0119"/>
    <w:rsid w:val="005B0E22"/>
    <w:rsid w:val="005B1613"/>
    <w:rsid w:val="005B28E3"/>
    <w:rsid w:val="005B51CE"/>
    <w:rsid w:val="005C5FF5"/>
    <w:rsid w:val="005E6188"/>
    <w:rsid w:val="005F282F"/>
    <w:rsid w:val="005F6B74"/>
    <w:rsid w:val="00600716"/>
    <w:rsid w:val="006109FA"/>
    <w:rsid w:val="006135CA"/>
    <w:rsid w:val="00615FC0"/>
    <w:rsid w:val="00620488"/>
    <w:rsid w:val="00623245"/>
    <w:rsid w:val="00630B77"/>
    <w:rsid w:val="00641DE9"/>
    <w:rsid w:val="00650029"/>
    <w:rsid w:val="00650B70"/>
    <w:rsid w:val="00652AA1"/>
    <w:rsid w:val="00653CAE"/>
    <w:rsid w:val="00657BFE"/>
    <w:rsid w:val="006660B0"/>
    <w:rsid w:val="00667162"/>
    <w:rsid w:val="00696440"/>
    <w:rsid w:val="006A66CD"/>
    <w:rsid w:val="006D11ED"/>
    <w:rsid w:val="006D5287"/>
    <w:rsid w:val="006D66B7"/>
    <w:rsid w:val="006F03C6"/>
    <w:rsid w:val="006F2DF7"/>
    <w:rsid w:val="006F3041"/>
    <w:rsid w:val="00704FBE"/>
    <w:rsid w:val="00711E79"/>
    <w:rsid w:val="00712D15"/>
    <w:rsid w:val="007232E8"/>
    <w:rsid w:val="00725E59"/>
    <w:rsid w:val="007320DE"/>
    <w:rsid w:val="00737F7E"/>
    <w:rsid w:val="007416A3"/>
    <w:rsid w:val="00741D17"/>
    <w:rsid w:val="00751980"/>
    <w:rsid w:val="00752A04"/>
    <w:rsid w:val="00757775"/>
    <w:rsid w:val="00776AC4"/>
    <w:rsid w:val="007854BE"/>
    <w:rsid w:val="007862EF"/>
    <w:rsid w:val="007A3202"/>
    <w:rsid w:val="007A69AF"/>
    <w:rsid w:val="007B4668"/>
    <w:rsid w:val="007C0F3E"/>
    <w:rsid w:val="007C1607"/>
    <w:rsid w:val="007D1915"/>
    <w:rsid w:val="007F5352"/>
    <w:rsid w:val="007F5AF4"/>
    <w:rsid w:val="007F702C"/>
    <w:rsid w:val="0082143D"/>
    <w:rsid w:val="00822C52"/>
    <w:rsid w:val="00823A6B"/>
    <w:rsid w:val="00824FF1"/>
    <w:rsid w:val="00836D3B"/>
    <w:rsid w:val="00837EAA"/>
    <w:rsid w:val="00841130"/>
    <w:rsid w:val="00861381"/>
    <w:rsid w:val="00872160"/>
    <w:rsid w:val="00874973"/>
    <w:rsid w:val="008866C0"/>
    <w:rsid w:val="008977D4"/>
    <w:rsid w:val="008A219F"/>
    <w:rsid w:val="008B1B84"/>
    <w:rsid w:val="008D10A7"/>
    <w:rsid w:val="008D23BE"/>
    <w:rsid w:val="008E2A65"/>
    <w:rsid w:val="00904B81"/>
    <w:rsid w:val="00906CA8"/>
    <w:rsid w:val="0092159E"/>
    <w:rsid w:val="009220E4"/>
    <w:rsid w:val="0093057C"/>
    <w:rsid w:val="00930EF7"/>
    <w:rsid w:val="009374BC"/>
    <w:rsid w:val="0094182D"/>
    <w:rsid w:val="00952E3B"/>
    <w:rsid w:val="009716A5"/>
    <w:rsid w:val="00976DFA"/>
    <w:rsid w:val="00994509"/>
    <w:rsid w:val="00997540"/>
    <w:rsid w:val="009A2B36"/>
    <w:rsid w:val="009B11D3"/>
    <w:rsid w:val="009B1D11"/>
    <w:rsid w:val="009C2E87"/>
    <w:rsid w:val="009C65CA"/>
    <w:rsid w:val="009D2D1B"/>
    <w:rsid w:val="009D3925"/>
    <w:rsid w:val="009D4D6A"/>
    <w:rsid w:val="009D5511"/>
    <w:rsid w:val="009D6353"/>
    <w:rsid w:val="009D66B3"/>
    <w:rsid w:val="009D724E"/>
    <w:rsid w:val="009E1101"/>
    <w:rsid w:val="009E1D9E"/>
    <w:rsid w:val="009F62D9"/>
    <w:rsid w:val="00A121B9"/>
    <w:rsid w:val="00A23ED3"/>
    <w:rsid w:val="00A2637B"/>
    <w:rsid w:val="00A31192"/>
    <w:rsid w:val="00A31959"/>
    <w:rsid w:val="00A43384"/>
    <w:rsid w:val="00A6093E"/>
    <w:rsid w:val="00A61079"/>
    <w:rsid w:val="00A718A5"/>
    <w:rsid w:val="00A83393"/>
    <w:rsid w:val="00A86DF2"/>
    <w:rsid w:val="00A9749D"/>
    <w:rsid w:val="00A9757E"/>
    <w:rsid w:val="00AA571F"/>
    <w:rsid w:val="00AA5933"/>
    <w:rsid w:val="00AA6746"/>
    <w:rsid w:val="00AA7321"/>
    <w:rsid w:val="00AB739D"/>
    <w:rsid w:val="00AD239C"/>
    <w:rsid w:val="00AD3090"/>
    <w:rsid w:val="00AD3F39"/>
    <w:rsid w:val="00AE7E79"/>
    <w:rsid w:val="00AF040E"/>
    <w:rsid w:val="00B011C5"/>
    <w:rsid w:val="00B10E5F"/>
    <w:rsid w:val="00B14B2E"/>
    <w:rsid w:val="00B200AD"/>
    <w:rsid w:val="00B42386"/>
    <w:rsid w:val="00B44E46"/>
    <w:rsid w:val="00B47470"/>
    <w:rsid w:val="00B87FE2"/>
    <w:rsid w:val="00B95245"/>
    <w:rsid w:val="00BB32B0"/>
    <w:rsid w:val="00BC49EE"/>
    <w:rsid w:val="00BC53D4"/>
    <w:rsid w:val="00BC5F4B"/>
    <w:rsid w:val="00BD1030"/>
    <w:rsid w:val="00BD4495"/>
    <w:rsid w:val="00BF0D1B"/>
    <w:rsid w:val="00BF43DF"/>
    <w:rsid w:val="00C01046"/>
    <w:rsid w:val="00C0402C"/>
    <w:rsid w:val="00C04785"/>
    <w:rsid w:val="00C307F8"/>
    <w:rsid w:val="00C31FC2"/>
    <w:rsid w:val="00C4461D"/>
    <w:rsid w:val="00C540B8"/>
    <w:rsid w:val="00C553A8"/>
    <w:rsid w:val="00C55DDB"/>
    <w:rsid w:val="00C64513"/>
    <w:rsid w:val="00C709BF"/>
    <w:rsid w:val="00C7363E"/>
    <w:rsid w:val="00C774D4"/>
    <w:rsid w:val="00C840B0"/>
    <w:rsid w:val="00C86763"/>
    <w:rsid w:val="00C90A8E"/>
    <w:rsid w:val="00C92EC0"/>
    <w:rsid w:val="00C93AE1"/>
    <w:rsid w:val="00C94500"/>
    <w:rsid w:val="00C95291"/>
    <w:rsid w:val="00CB1118"/>
    <w:rsid w:val="00CC473C"/>
    <w:rsid w:val="00CD056B"/>
    <w:rsid w:val="00CD231A"/>
    <w:rsid w:val="00CD372F"/>
    <w:rsid w:val="00CD4544"/>
    <w:rsid w:val="00CD59C6"/>
    <w:rsid w:val="00CE15B2"/>
    <w:rsid w:val="00CE53B7"/>
    <w:rsid w:val="00CF453C"/>
    <w:rsid w:val="00D02454"/>
    <w:rsid w:val="00D06CFE"/>
    <w:rsid w:val="00D11750"/>
    <w:rsid w:val="00D135BD"/>
    <w:rsid w:val="00D16529"/>
    <w:rsid w:val="00D1675A"/>
    <w:rsid w:val="00D470F6"/>
    <w:rsid w:val="00D526B4"/>
    <w:rsid w:val="00D700DD"/>
    <w:rsid w:val="00D742F9"/>
    <w:rsid w:val="00D813E4"/>
    <w:rsid w:val="00D81C39"/>
    <w:rsid w:val="00D84620"/>
    <w:rsid w:val="00D917D4"/>
    <w:rsid w:val="00DC55CB"/>
    <w:rsid w:val="00DD3FBB"/>
    <w:rsid w:val="00DD79D0"/>
    <w:rsid w:val="00DF394F"/>
    <w:rsid w:val="00E01659"/>
    <w:rsid w:val="00E0263A"/>
    <w:rsid w:val="00E04555"/>
    <w:rsid w:val="00E0493D"/>
    <w:rsid w:val="00E129D7"/>
    <w:rsid w:val="00E35DD1"/>
    <w:rsid w:val="00E35E87"/>
    <w:rsid w:val="00E35FA3"/>
    <w:rsid w:val="00E42175"/>
    <w:rsid w:val="00E4321E"/>
    <w:rsid w:val="00E45651"/>
    <w:rsid w:val="00E63C7C"/>
    <w:rsid w:val="00E838A9"/>
    <w:rsid w:val="00EA545F"/>
    <w:rsid w:val="00EA787F"/>
    <w:rsid w:val="00EB205D"/>
    <w:rsid w:val="00EB281A"/>
    <w:rsid w:val="00EB49E7"/>
    <w:rsid w:val="00EB7724"/>
    <w:rsid w:val="00EC2F77"/>
    <w:rsid w:val="00EC3448"/>
    <w:rsid w:val="00ED51F8"/>
    <w:rsid w:val="00ED779E"/>
    <w:rsid w:val="00ED7F4A"/>
    <w:rsid w:val="00EE1E63"/>
    <w:rsid w:val="00EE5BE2"/>
    <w:rsid w:val="00EE72E1"/>
    <w:rsid w:val="00EF23AC"/>
    <w:rsid w:val="00EF556A"/>
    <w:rsid w:val="00F000F9"/>
    <w:rsid w:val="00F04FB0"/>
    <w:rsid w:val="00F140C8"/>
    <w:rsid w:val="00F32F5A"/>
    <w:rsid w:val="00F372B8"/>
    <w:rsid w:val="00F45424"/>
    <w:rsid w:val="00F532F0"/>
    <w:rsid w:val="00F54974"/>
    <w:rsid w:val="00F74048"/>
    <w:rsid w:val="00F747F6"/>
    <w:rsid w:val="00F81077"/>
    <w:rsid w:val="00F96713"/>
    <w:rsid w:val="00FA5715"/>
    <w:rsid w:val="00FB6A58"/>
    <w:rsid w:val="00FC5077"/>
    <w:rsid w:val="00FD00FD"/>
    <w:rsid w:val="00FD111C"/>
    <w:rsid w:val="00FD4ED4"/>
    <w:rsid w:val="00FD4F58"/>
    <w:rsid w:val="00FD5732"/>
    <w:rsid w:val="00FD74AC"/>
    <w:rsid w:val="00FE3ABE"/>
    <w:rsid w:val="00FE4548"/>
    <w:rsid w:val="00FE5CF4"/>
    <w:rsid w:val="00FF1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CEE9881"/>
  <w15:chartTrackingRefBased/>
  <w15:docId w15:val="{37A269C6-4BBF-4967-BD34-D0E8068F1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tabs>
        <w:tab w:val="left" w:pos="1418"/>
      </w:tabs>
      <w:jc w:val="both"/>
    </w:pPr>
    <w:rPr>
      <w:rFonts w:ascii="Century Gothic" w:hAnsi="Century Gothic"/>
      <w:sz w:val="22"/>
    </w:rPr>
  </w:style>
  <w:style w:type="paragraph" w:styleId="Ttulo1">
    <w:name w:val="heading 1"/>
    <w:basedOn w:val="Normal"/>
    <w:next w:val="Normal"/>
    <w:qFormat/>
    <w:pPr>
      <w:keepNext/>
      <w:tabs>
        <w:tab w:val="clear" w:pos="1418"/>
        <w:tab w:val="left" w:pos="2268"/>
        <w:tab w:val="left" w:pos="2835"/>
      </w:tabs>
      <w:jc w:val="center"/>
      <w:outlineLvl w:val="0"/>
    </w:pPr>
    <w:rPr>
      <w:rFonts w:ascii="Times New Roman" w:hAnsi="Times New Roman"/>
      <w:b/>
      <w:color w:val="000000"/>
      <w:sz w:val="20"/>
    </w:rPr>
  </w:style>
  <w:style w:type="paragraph" w:styleId="Ttulo2">
    <w:name w:val="heading 2"/>
    <w:basedOn w:val="Normal"/>
    <w:next w:val="Normal"/>
    <w:qFormat/>
    <w:pPr>
      <w:keepNext/>
      <w:tabs>
        <w:tab w:val="clear" w:pos="1418"/>
        <w:tab w:val="left" w:pos="2835"/>
      </w:tabs>
      <w:jc w:val="center"/>
      <w:outlineLvl w:val="1"/>
    </w:pPr>
    <w:rPr>
      <w:rFonts w:ascii="Signet Roundhand" w:hAnsi="Signet Roundhand"/>
      <w:color w:val="000000"/>
      <w:sz w:val="26"/>
    </w:rPr>
  </w:style>
  <w:style w:type="paragraph" w:styleId="Ttulo3">
    <w:name w:val="heading 3"/>
    <w:basedOn w:val="Normal"/>
    <w:next w:val="Normal"/>
    <w:link w:val="Ttulo3Char"/>
    <w:uiPriority w:val="9"/>
    <w:qFormat/>
    <w:rsid w:val="00B10E5F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b/>
      <w:bCs/>
      <w:sz w:val="44"/>
    </w:rPr>
  </w:style>
  <w:style w:type="paragraph" w:styleId="Recuodecorpodetexto">
    <w:name w:val="Body Text Indent"/>
    <w:basedOn w:val="Normal"/>
    <w:semiHidden/>
    <w:pPr>
      <w:ind w:left="2124"/>
    </w:pPr>
  </w:style>
  <w:style w:type="paragraph" w:styleId="Recuodecorpodetexto2">
    <w:name w:val="Body Text Indent 2"/>
    <w:basedOn w:val="Normal"/>
    <w:semiHidden/>
    <w:pPr>
      <w:ind w:left="2832"/>
    </w:pPr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10E5F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B10E5F"/>
    <w:rPr>
      <w:rFonts w:ascii="Tahoma" w:hAnsi="Tahoma" w:cs="Tahoma"/>
      <w:sz w:val="16"/>
      <w:szCs w:val="16"/>
    </w:rPr>
  </w:style>
  <w:style w:type="character" w:customStyle="1" w:styleId="Ttulo3Char">
    <w:name w:val="Título 3 Char"/>
    <w:link w:val="Ttulo3"/>
    <w:uiPriority w:val="9"/>
    <w:semiHidden/>
    <w:rsid w:val="00B10E5F"/>
    <w:rPr>
      <w:rFonts w:ascii="Cambria" w:eastAsia="Times New Roman" w:hAnsi="Cambria" w:cs="Times New Roman"/>
      <w:b/>
      <w:bCs/>
      <w:sz w:val="26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6D5287"/>
    <w:pPr>
      <w:tabs>
        <w:tab w:val="clear" w:pos="1418"/>
        <w:tab w:val="center" w:pos="4252"/>
        <w:tab w:val="right" w:pos="8504"/>
      </w:tabs>
    </w:pPr>
    <w:rPr>
      <w:lang w:val="x-none" w:eastAsia="x-none"/>
    </w:rPr>
  </w:style>
  <w:style w:type="character" w:customStyle="1" w:styleId="CabealhoChar">
    <w:name w:val="Cabeçalho Char"/>
    <w:link w:val="Cabealho"/>
    <w:uiPriority w:val="99"/>
    <w:rsid w:val="006D5287"/>
    <w:rPr>
      <w:rFonts w:ascii="Century Gothic" w:hAnsi="Century Gothic"/>
      <w:sz w:val="22"/>
    </w:rPr>
  </w:style>
  <w:style w:type="paragraph" w:styleId="Rodap">
    <w:name w:val="footer"/>
    <w:basedOn w:val="Normal"/>
    <w:link w:val="RodapChar"/>
    <w:uiPriority w:val="99"/>
    <w:unhideWhenUsed/>
    <w:rsid w:val="006D5287"/>
    <w:pPr>
      <w:tabs>
        <w:tab w:val="clear" w:pos="1418"/>
        <w:tab w:val="center" w:pos="4252"/>
        <w:tab w:val="right" w:pos="8504"/>
      </w:tabs>
    </w:pPr>
    <w:rPr>
      <w:lang w:val="x-none" w:eastAsia="x-none"/>
    </w:rPr>
  </w:style>
  <w:style w:type="character" w:customStyle="1" w:styleId="RodapChar">
    <w:name w:val="Rodapé Char"/>
    <w:link w:val="Rodap"/>
    <w:uiPriority w:val="99"/>
    <w:rsid w:val="006D5287"/>
    <w:rPr>
      <w:rFonts w:ascii="Century Gothic" w:hAnsi="Century Gothic"/>
      <w:sz w:val="22"/>
    </w:rPr>
  </w:style>
  <w:style w:type="character" w:styleId="Hyperlink">
    <w:name w:val="Hyperlink"/>
    <w:uiPriority w:val="99"/>
    <w:unhideWhenUsed/>
    <w:rsid w:val="006D5287"/>
    <w:rPr>
      <w:color w:val="0000FF"/>
      <w:u w:val="single"/>
    </w:rPr>
  </w:style>
  <w:style w:type="table" w:styleId="Tabelacomgrade">
    <w:name w:val="Table Grid"/>
    <w:basedOn w:val="Tabelanormal"/>
    <w:uiPriority w:val="59"/>
    <w:rsid w:val="006D528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Refdecomentrio">
    <w:name w:val="annotation reference"/>
    <w:uiPriority w:val="99"/>
    <w:semiHidden/>
    <w:unhideWhenUsed/>
    <w:rsid w:val="00EA787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A787F"/>
    <w:rPr>
      <w:sz w:val="20"/>
      <w:lang w:val="x-none" w:eastAsia="x-none"/>
    </w:rPr>
  </w:style>
  <w:style w:type="character" w:customStyle="1" w:styleId="TextodecomentrioChar">
    <w:name w:val="Texto de comentário Char"/>
    <w:link w:val="Textodecomentrio"/>
    <w:uiPriority w:val="99"/>
    <w:semiHidden/>
    <w:rsid w:val="00EA787F"/>
    <w:rPr>
      <w:rFonts w:ascii="Century Gothic" w:hAnsi="Century Gothic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A787F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EA787F"/>
    <w:rPr>
      <w:rFonts w:ascii="Century Gothic" w:hAnsi="Century Gothic"/>
      <w:b/>
      <w:bCs/>
    </w:rPr>
  </w:style>
  <w:style w:type="paragraph" w:styleId="PargrafodaLista">
    <w:name w:val="List Paragraph"/>
    <w:aliases w:val="SheParágrafo da Lista"/>
    <w:basedOn w:val="Normal"/>
    <w:link w:val="PargrafodaListaChar"/>
    <w:uiPriority w:val="34"/>
    <w:qFormat/>
    <w:rsid w:val="00DF394F"/>
    <w:pPr>
      <w:tabs>
        <w:tab w:val="clear" w:pos="1418"/>
      </w:tabs>
      <w:spacing w:after="160" w:line="259" w:lineRule="auto"/>
      <w:ind w:left="720"/>
      <w:contextualSpacing/>
      <w:jc w:val="left"/>
    </w:pPr>
    <w:rPr>
      <w:rFonts w:ascii="Calibri" w:eastAsia="Calibri" w:hAnsi="Calibri"/>
      <w:szCs w:val="22"/>
      <w:lang w:eastAsia="en-US"/>
    </w:rPr>
  </w:style>
  <w:style w:type="paragraph" w:styleId="Corpodetexto">
    <w:name w:val="Body Text"/>
    <w:basedOn w:val="Normal"/>
    <w:link w:val="CorpodetextoChar"/>
    <w:uiPriority w:val="99"/>
    <w:unhideWhenUsed/>
    <w:rsid w:val="00503A2C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503A2C"/>
    <w:rPr>
      <w:rFonts w:ascii="Century Gothic" w:hAnsi="Century Gothic"/>
      <w:sz w:val="22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13BE5"/>
    <w:rPr>
      <w:sz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313BE5"/>
    <w:rPr>
      <w:rFonts w:ascii="Century Gothic" w:hAnsi="Century Gothic"/>
    </w:rPr>
  </w:style>
  <w:style w:type="character" w:styleId="Refdenotaderodap">
    <w:name w:val="footnote reference"/>
    <w:basedOn w:val="Fontepargpadro"/>
    <w:uiPriority w:val="99"/>
    <w:semiHidden/>
    <w:unhideWhenUsed/>
    <w:rsid w:val="00313BE5"/>
    <w:rPr>
      <w:vertAlign w:val="superscript"/>
    </w:rPr>
  </w:style>
  <w:style w:type="character" w:styleId="MenoPendente">
    <w:name w:val="Unresolved Mention"/>
    <w:basedOn w:val="Fontepargpadro"/>
    <w:uiPriority w:val="99"/>
    <w:semiHidden/>
    <w:unhideWhenUsed/>
    <w:rsid w:val="00776AC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9C65CA"/>
    <w:pPr>
      <w:tabs>
        <w:tab w:val="clear" w:pos="1418"/>
      </w:tabs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9D551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argrafodaListaChar">
    <w:name w:val="Parágrafo da Lista Char"/>
    <w:aliases w:val="SheParágrafo da Lista Char"/>
    <w:link w:val="PargrafodaLista"/>
    <w:uiPriority w:val="34"/>
    <w:qFormat/>
    <w:locked/>
    <w:rsid w:val="0092159E"/>
    <w:rPr>
      <w:rFonts w:ascii="Calibri" w:eastAsia="Calibri" w:hAnsi="Calibri"/>
      <w:sz w:val="22"/>
      <w:szCs w:val="22"/>
      <w:lang w:eastAsia="en-US"/>
    </w:rPr>
  </w:style>
  <w:style w:type="character" w:styleId="Forte">
    <w:name w:val="Strong"/>
    <w:basedOn w:val="Fontepargpadro"/>
    <w:uiPriority w:val="22"/>
    <w:qFormat/>
    <w:rsid w:val="000C4F5B"/>
    <w:rPr>
      <w:b/>
      <w:bCs/>
    </w:rPr>
  </w:style>
  <w:style w:type="character" w:customStyle="1" w:styleId="uv3um">
    <w:name w:val="uv3um"/>
    <w:basedOn w:val="Fontepargpadro"/>
    <w:rsid w:val="00A263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21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4803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63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5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98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00483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70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906688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61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74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65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12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76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757953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442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45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55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038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10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35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92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13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881559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755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72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18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07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6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ocuradoria.licitacao@po.mg.gov.br" TargetMode="External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procuradoria.licitacao@po.mg.gov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59FEA5-6A67-4E06-803C-129A1FA7A7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4</Pages>
  <Words>994</Words>
  <Characters>5986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</vt:lpstr>
    </vt:vector>
  </TitlesOfParts>
  <Company>Escritório de Advocacia</Company>
  <LinksUpToDate>false</LinksUpToDate>
  <CharactersWithSpaces>6967</CharactersWithSpaces>
  <SharedDoc>false</SharedDoc>
  <HLinks>
    <vt:vector size="24" baseType="variant">
      <vt:variant>
        <vt:i4>4522082</vt:i4>
      </vt:variant>
      <vt:variant>
        <vt:i4>9</vt:i4>
      </vt:variant>
      <vt:variant>
        <vt:i4>0</vt:i4>
      </vt:variant>
      <vt:variant>
        <vt:i4>5</vt:i4>
      </vt:variant>
      <vt:variant>
        <vt:lpwstr>mailto:assessoriajuridica@po.mg.gov.br</vt:lpwstr>
      </vt:variant>
      <vt:variant>
        <vt:lpwstr/>
      </vt:variant>
      <vt:variant>
        <vt:i4>3145748</vt:i4>
      </vt:variant>
      <vt:variant>
        <vt:i4>6</vt:i4>
      </vt:variant>
      <vt:variant>
        <vt:i4>0</vt:i4>
      </vt:variant>
      <vt:variant>
        <vt:i4>5</vt:i4>
      </vt:variant>
      <vt:variant>
        <vt:lpwstr>mailto:procuradoria@po.mg.gov.br</vt:lpwstr>
      </vt:variant>
      <vt:variant>
        <vt:lpwstr/>
      </vt:variant>
      <vt:variant>
        <vt:i4>4522082</vt:i4>
      </vt:variant>
      <vt:variant>
        <vt:i4>3</vt:i4>
      </vt:variant>
      <vt:variant>
        <vt:i4>0</vt:i4>
      </vt:variant>
      <vt:variant>
        <vt:i4>5</vt:i4>
      </vt:variant>
      <vt:variant>
        <vt:lpwstr>mailto:assessoriajuridica@po.mg.gov.br</vt:lpwstr>
      </vt:variant>
      <vt:variant>
        <vt:lpwstr/>
      </vt:variant>
      <vt:variant>
        <vt:i4>3145748</vt:i4>
      </vt:variant>
      <vt:variant>
        <vt:i4>0</vt:i4>
      </vt:variant>
      <vt:variant>
        <vt:i4>0</vt:i4>
      </vt:variant>
      <vt:variant>
        <vt:i4>5</vt:i4>
      </vt:variant>
      <vt:variant>
        <vt:lpwstr>mailto:procuradoria@po.mg.gov.br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</dc:title>
  <dc:subject>Licença Prêmio</dc:subject>
  <dc:creator>Antonio Simões da Cunha Neto</dc:creator>
  <cp:keywords/>
  <cp:lastModifiedBy>PPO-USER</cp:lastModifiedBy>
  <cp:revision>13</cp:revision>
  <cp:lastPrinted>2025-03-20T16:18:00Z</cp:lastPrinted>
  <dcterms:created xsi:type="dcterms:W3CDTF">2025-03-20T17:13:00Z</dcterms:created>
  <dcterms:modified xsi:type="dcterms:W3CDTF">2025-03-20T18:32:00Z</dcterms:modified>
</cp:coreProperties>
</file>