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25FD1" w14:textId="7F4CE0E6" w:rsidR="00C2041B" w:rsidRPr="00773E6B"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773E6B">
        <w:rPr>
          <w:rFonts w:ascii="Times New Roman" w:eastAsia="Microsoft YaHei" w:hAnsi="Times New Roman" w:cs="Times New Roman"/>
          <w:b/>
          <w:color w:val="FFFFFF" w:themeColor="background1"/>
        </w:rPr>
        <w:t>PREÇOS Nº 18</w:t>
      </w:r>
      <w:r w:rsidR="00773E6B" w:rsidRPr="00773E6B">
        <w:rPr>
          <w:rFonts w:ascii="Times New Roman" w:eastAsia="Microsoft YaHei" w:hAnsi="Times New Roman" w:cs="Times New Roman"/>
          <w:b/>
          <w:color w:val="FFFFFF" w:themeColor="background1"/>
        </w:rPr>
        <w:t>4</w:t>
      </w:r>
      <w:r w:rsidRPr="00773E6B">
        <w:rPr>
          <w:rFonts w:ascii="Times New Roman" w:eastAsia="Microsoft YaHei" w:hAnsi="Times New Roman" w:cs="Times New Roman"/>
          <w:b/>
          <w:color w:val="FFFFFF" w:themeColor="background1"/>
        </w:rPr>
        <w:t>/2021</w:t>
      </w:r>
    </w:p>
    <w:p w14:paraId="58028E3F"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7517EA8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318C305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6A26DBDB"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6FCD5C7D"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Flávio Diórgenes Cassimiro</w:t>
      </w:r>
      <w:bookmarkEnd w:id="0"/>
      <w:r w:rsidR="009F3253" w:rsidRPr="00C2041B">
        <w:rPr>
          <w:rFonts w:ascii="Times New Roman" w:hAnsi="Times New Roman" w:cs="Times New Roman"/>
          <w:b/>
          <w:bCs/>
        </w:rPr>
        <w:t>.</w:t>
      </w:r>
    </w:p>
    <w:p w14:paraId="346211E2" w14:textId="77777777" w:rsidR="00C2041B" w:rsidRDefault="00C2041B" w:rsidP="001A049A">
      <w:pPr>
        <w:spacing w:after="0" w:line="240" w:lineRule="auto"/>
        <w:jc w:val="both"/>
        <w:rPr>
          <w:rFonts w:ascii="Times New Roman" w:hAnsi="Times New Roman" w:cs="Times New Roman"/>
        </w:rPr>
      </w:pPr>
    </w:p>
    <w:p w14:paraId="3154E94A"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4A1AF0DF" wp14:editId="069777DA">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21867BB9" w14:textId="56BECA30"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CF2322">
        <w:rPr>
          <w:rFonts w:ascii="Times New Roman" w:hAnsi="Times New Roman" w:cs="Times New Roman"/>
        </w:rPr>
        <w:t xml:space="preserve">empresa </w:t>
      </w:r>
      <w:r w:rsidR="00CF2322" w:rsidRPr="00CF2322">
        <w:rPr>
          <w:rFonts w:ascii="Times New Roman" w:hAnsi="Times New Roman" w:cs="Times New Roman"/>
          <w:b/>
          <w:bCs/>
        </w:rPr>
        <w:t>DISTRIBUIDORA ENTSORGA LTDA</w:t>
      </w:r>
      <w:r w:rsidRPr="00CF2322">
        <w:rPr>
          <w:rFonts w:ascii="Times New Roman" w:hAnsi="Times New Roman" w:cs="Times New Roman"/>
        </w:rPr>
        <w:t xml:space="preserve">, pessoa jurídica, inscrita no CNPJ sob nº. </w:t>
      </w:r>
      <w:r w:rsidR="00CF2322" w:rsidRPr="00CF2322">
        <w:rPr>
          <w:rFonts w:ascii="Times New Roman" w:hAnsi="Times New Roman" w:cs="Times New Roman"/>
          <w:b/>
          <w:bCs/>
        </w:rPr>
        <w:t>21.056.989/0001-25</w:t>
      </w:r>
      <w:r w:rsidR="00CF2322" w:rsidRPr="00CF2322">
        <w:rPr>
          <w:rFonts w:ascii="Times New Roman" w:hAnsi="Times New Roman" w:cs="Times New Roman"/>
        </w:rPr>
        <w:t>,</w:t>
      </w:r>
      <w:r w:rsidRPr="00CF2322">
        <w:rPr>
          <w:rFonts w:ascii="Times New Roman" w:hAnsi="Times New Roman" w:cs="Times New Roman"/>
        </w:rPr>
        <w:t xml:space="preserve"> situada</w:t>
      </w:r>
      <w:r w:rsidR="00CF2322" w:rsidRPr="00CF2322">
        <w:rPr>
          <w:rFonts w:ascii="Times New Roman" w:hAnsi="Times New Roman" w:cs="Times New Roman"/>
        </w:rPr>
        <w:t xml:space="preserve"> na Praça Tiradentes</w:t>
      </w:r>
      <w:r w:rsidRPr="00CF2322">
        <w:rPr>
          <w:rFonts w:ascii="Times New Roman" w:hAnsi="Times New Roman" w:cs="Times New Roman"/>
        </w:rPr>
        <w:t xml:space="preserve">, </w:t>
      </w:r>
      <w:r w:rsidR="00CF2322" w:rsidRPr="00CF2322">
        <w:rPr>
          <w:rFonts w:ascii="Times New Roman" w:hAnsi="Times New Roman" w:cs="Times New Roman"/>
        </w:rPr>
        <w:t xml:space="preserve">nº 75, Bairro Centro, </w:t>
      </w:r>
      <w:r w:rsidR="00CF2322" w:rsidRPr="00CF2322">
        <w:rPr>
          <w:rFonts w:ascii="Times New Roman" w:hAnsi="Times New Roman" w:cs="Times New Roman"/>
          <w:b/>
          <w:bCs/>
        </w:rPr>
        <w:t xml:space="preserve">CONTAGEM/MG, </w:t>
      </w:r>
      <w:r w:rsidR="00CF2322" w:rsidRPr="00CF2322">
        <w:rPr>
          <w:rFonts w:ascii="Times New Roman" w:hAnsi="Times New Roman" w:cs="Times New Roman"/>
        </w:rPr>
        <w:t>CEP 32041-770,</w:t>
      </w:r>
      <w:r w:rsidR="00CF2322" w:rsidRPr="00CF2322">
        <w:rPr>
          <w:rFonts w:ascii="Times New Roman" w:hAnsi="Times New Roman" w:cs="Times New Roman"/>
          <w:b/>
          <w:bCs/>
        </w:rPr>
        <w:t xml:space="preserve"> </w:t>
      </w:r>
      <w:r w:rsidR="00CF2322" w:rsidRPr="00CF2322">
        <w:rPr>
          <w:rFonts w:ascii="Times New Roman" w:hAnsi="Times New Roman" w:cs="Times New Roman"/>
        </w:rPr>
        <w:t>telefone (31) 9833-5613</w:t>
      </w:r>
      <w:r w:rsidRPr="00CF2322">
        <w:rPr>
          <w:rFonts w:ascii="Times New Roman" w:hAnsi="Times New Roman" w:cs="Times New Roman"/>
        </w:rPr>
        <w:t>,</w:t>
      </w:r>
      <w:r w:rsidR="00CF2322" w:rsidRPr="00CF2322">
        <w:rPr>
          <w:rFonts w:ascii="Times New Roman" w:hAnsi="Times New Roman" w:cs="Times New Roman"/>
        </w:rPr>
        <w:t xml:space="preserve"> e-mail licitacao@entsorga.com.br</w:t>
      </w:r>
      <w:r w:rsidRPr="00CF2322">
        <w:rPr>
          <w:rFonts w:ascii="Times New Roman" w:hAnsi="Times New Roman" w:cs="Times New Roman"/>
        </w:rPr>
        <w:t xml:space="preserve"> neste ato REPRESENTADA por seu representante legal, o(a) Sr(a).</w:t>
      </w:r>
      <w:r w:rsidR="00CF2322" w:rsidRPr="00CF2322">
        <w:t xml:space="preserve"> </w:t>
      </w:r>
      <w:r w:rsidR="00535099" w:rsidRPr="00535099">
        <w:rPr>
          <w:rFonts w:ascii="Times New Roman" w:hAnsi="Times New Roman" w:cs="Times New Roman"/>
        </w:rPr>
        <w:t>Zaivane Fernandes Nogueira</w:t>
      </w:r>
      <w:r w:rsidRPr="00535099">
        <w:rPr>
          <w:rFonts w:ascii="Times New Roman" w:hAnsi="Times New Roman" w:cs="Times New Roman"/>
        </w:rPr>
        <w:t xml:space="preserve">, inscrito no CPF nº. </w:t>
      </w:r>
      <w:r w:rsidR="00535099" w:rsidRPr="00535099">
        <w:rPr>
          <w:rFonts w:ascii="Times New Roman" w:hAnsi="Times New Roman" w:cs="Times New Roman"/>
        </w:rPr>
        <w:t>816.703.206-00</w:t>
      </w:r>
      <w:r w:rsidR="00535099">
        <w:rPr>
          <w:rFonts w:ascii="Times New Roman" w:hAnsi="Times New Roman" w:cs="Times New Roman"/>
        </w:rPr>
        <w:t xml:space="preserve"> e RG n.º MG-5.553.534</w:t>
      </w:r>
      <w:r w:rsidRPr="00535099">
        <w:rPr>
          <w:rFonts w:ascii="Times New Roman" w:hAnsi="Times New Roman" w:cs="Times New Roman"/>
        </w:rPr>
        <w:t xml:space="preserve">, </w:t>
      </w:r>
      <w:r w:rsidRPr="00C2041B">
        <w:rPr>
          <w:rFonts w:ascii="Times New Roman" w:hAnsi="Times New Roman" w:cs="Times New Roman"/>
        </w:rPr>
        <w:t xml:space="preserve">doravante denominada </w:t>
      </w:r>
      <w:r w:rsidRPr="00C2041B">
        <w:rPr>
          <w:rFonts w:ascii="Times New Roman" w:hAnsi="Times New Roman" w:cs="Times New Roman"/>
          <w:b/>
          <w:bCs/>
        </w:rPr>
        <w:t>CONTRATADA</w:t>
      </w:r>
      <w:r w:rsidRPr="00C2041B">
        <w:rPr>
          <w:rFonts w:ascii="Times New Roman" w:hAnsi="Times New Roman" w:cs="Times New Roman"/>
        </w:rPr>
        <w:t>, resolvem firmar o presente contrato, sob a regência das Leis Municipais vigentes, Leis Federais nºs. 8.666/93, 10.520/2002, e Decreto 10.024/19, Decreto Municipais nº 1.183/2020 e 1.091/2018 e demais normas pertinentes, mediante as seguintes cláusulas e condições:</w:t>
      </w:r>
    </w:p>
    <w:p w14:paraId="3F4538C1" w14:textId="77777777" w:rsidR="00C2041B" w:rsidRPr="00C2041B" w:rsidRDefault="00C2041B" w:rsidP="001A049A">
      <w:pPr>
        <w:spacing w:after="0" w:line="240" w:lineRule="auto"/>
        <w:jc w:val="both"/>
        <w:rPr>
          <w:rFonts w:ascii="Times New Roman" w:hAnsi="Times New Roman" w:cs="Times New Roman"/>
        </w:rPr>
      </w:pPr>
    </w:p>
    <w:p w14:paraId="5D9F2811"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DD0F9DB"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150E0CB2"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5709BCBD" w14:textId="77777777" w:rsidR="00C2041B" w:rsidRPr="00C2041B" w:rsidRDefault="00C2041B" w:rsidP="001A049A">
      <w:pPr>
        <w:spacing w:after="0" w:line="240" w:lineRule="auto"/>
        <w:jc w:val="both"/>
        <w:rPr>
          <w:rFonts w:ascii="Times New Roman" w:hAnsi="Times New Roman" w:cs="Times New Roman"/>
        </w:rPr>
      </w:pPr>
    </w:p>
    <w:p w14:paraId="2B9A81B8"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616F2843"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006889EE" w14:textId="77777777" w:rsidR="00C2041B" w:rsidRPr="00C2041B" w:rsidRDefault="00C2041B" w:rsidP="001A049A">
      <w:pPr>
        <w:spacing w:after="0" w:line="240" w:lineRule="auto"/>
        <w:jc w:val="both"/>
        <w:rPr>
          <w:rFonts w:ascii="Times New Roman" w:hAnsi="Times New Roman" w:cs="Times New Roman"/>
          <w:b/>
          <w:bCs/>
        </w:rPr>
      </w:pPr>
    </w:p>
    <w:p w14:paraId="45801F0A"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5F33A996"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5BFDB76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2F7106E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1E23107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423B1CFD"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70D3F07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0DBE292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533CAD8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59DA0C60"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1D19B424"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ART’s</w:t>
      </w:r>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7E2086D1"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40E0F38A" w14:textId="77777777" w:rsidR="00C2041B" w:rsidRPr="00C2041B" w:rsidRDefault="00C2041B" w:rsidP="001A049A">
      <w:pPr>
        <w:spacing w:after="0" w:line="240" w:lineRule="auto"/>
        <w:jc w:val="both"/>
        <w:rPr>
          <w:rFonts w:ascii="Times New Roman" w:hAnsi="Times New Roman" w:cs="Times New Roman"/>
        </w:rPr>
      </w:pPr>
    </w:p>
    <w:p w14:paraId="10EBD977"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75B73A80" w14:textId="77777777" w:rsidR="00BB1C63"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A119CE" w:rsidRPr="00BB1C63">
        <w:rPr>
          <w:rFonts w:ascii="Times New Roman" w:hAnsi="Times New Roman" w:cs="Times New Roman"/>
          <w:b/>
          <w:bCs/>
        </w:rPr>
        <w:t>R$</w:t>
      </w:r>
      <w:r w:rsidR="00CF2322" w:rsidRPr="00BB1C63">
        <w:rPr>
          <w:rFonts w:ascii="Times New Roman" w:hAnsi="Times New Roman" w:cs="Times New Roman"/>
          <w:b/>
          <w:bCs/>
        </w:rPr>
        <w:t>634.016,00 (Seiscentos e trinta e quatro mil e dezesseis reais).</w:t>
      </w:r>
    </w:p>
    <w:p w14:paraId="43026606" w14:textId="40FE4559" w:rsidR="00A119CE" w:rsidRPr="00BB1C63" w:rsidRDefault="00CF2322" w:rsidP="001A049A">
      <w:pPr>
        <w:spacing w:after="0" w:line="240" w:lineRule="auto"/>
        <w:jc w:val="both"/>
        <w:rPr>
          <w:rFonts w:ascii="Times New Roman" w:hAnsi="Times New Roman" w:cs="Times New Roman"/>
          <w:b/>
          <w:bCs/>
        </w:rPr>
      </w:pPr>
      <w:r w:rsidRPr="00BB1C63">
        <w:rPr>
          <w:rFonts w:ascii="Times New Roman" w:hAnsi="Times New Roman" w:cs="Times New Roman"/>
          <w:b/>
          <w:bCs/>
        </w:rPr>
        <w:t xml:space="preserve"> </w:t>
      </w:r>
    </w:p>
    <w:tbl>
      <w:tblPr>
        <w:tblStyle w:val="Tabelacomgrade1"/>
        <w:tblW w:w="9634" w:type="dxa"/>
        <w:tblInd w:w="0" w:type="dxa"/>
        <w:tblLook w:val="04A0" w:firstRow="1" w:lastRow="0" w:firstColumn="1" w:lastColumn="0" w:noHBand="0" w:noVBand="1"/>
      </w:tblPr>
      <w:tblGrid>
        <w:gridCol w:w="656"/>
        <w:gridCol w:w="2932"/>
        <w:gridCol w:w="1316"/>
        <w:gridCol w:w="1389"/>
        <w:gridCol w:w="1053"/>
        <w:gridCol w:w="1082"/>
        <w:gridCol w:w="1206"/>
      </w:tblGrid>
      <w:tr w:rsidR="00CF2322" w:rsidRPr="00CF2322" w14:paraId="49C887FB"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3D9C16AF" w14:textId="77777777" w:rsidR="00CF2322" w:rsidRPr="00CF2322" w:rsidRDefault="00CF2322" w:rsidP="00CF2322">
            <w:pPr>
              <w:keepNext/>
              <w:outlineLvl w:val="1"/>
              <w:rPr>
                <w:b/>
                <w:bCs/>
                <w:sz w:val="22"/>
                <w:szCs w:val="22"/>
              </w:rPr>
            </w:pPr>
            <w:r w:rsidRPr="00CF2322">
              <w:rPr>
                <w:b/>
                <w:bCs/>
                <w:sz w:val="22"/>
                <w:szCs w:val="22"/>
              </w:rPr>
              <w:t>Item</w:t>
            </w:r>
          </w:p>
        </w:tc>
        <w:tc>
          <w:tcPr>
            <w:tcW w:w="3072" w:type="dxa"/>
            <w:tcBorders>
              <w:top w:val="single" w:sz="4" w:space="0" w:color="auto"/>
              <w:left w:val="single" w:sz="4" w:space="0" w:color="auto"/>
              <w:bottom w:val="single" w:sz="4" w:space="0" w:color="auto"/>
              <w:right w:val="single" w:sz="4" w:space="0" w:color="auto"/>
            </w:tcBorders>
            <w:hideMark/>
          </w:tcPr>
          <w:p w14:paraId="281F07E6" w14:textId="77777777" w:rsidR="00CF2322" w:rsidRPr="00CF2322" w:rsidRDefault="00CF2322" w:rsidP="00CF2322">
            <w:pPr>
              <w:keepNext/>
              <w:outlineLvl w:val="1"/>
              <w:rPr>
                <w:b/>
                <w:bCs/>
                <w:sz w:val="22"/>
                <w:szCs w:val="22"/>
              </w:rPr>
            </w:pPr>
            <w:r w:rsidRPr="00CF2322">
              <w:rPr>
                <w:b/>
                <w:bCs/>
                <w:sz w:val="22"/>
                <w:szCs w:val="22"/>
              </w:rPr>
              <w:t>Descrição</w:t>
            </w:r>
          </w:p>
        </w:tc>
        <w:tc>
          <w:tcPr>
            <w:tcW w:w="1304" w:type="dxa"/>
            <w:tcBorders>
              <w:top w:val="single" w:sz="4" w:space="0" w:color="auto"/>
              <w:left w:val="single" w:sz="4" w:space="0" w:color="auto"/>
              <w:bottom w:val="single" w:sz="4" w:space="0" w:color="auto"/>
              <w:right w:val="single" w:sz="4" w:space="0" w:color="auto"/>
            </w:tcBorders>
            <w:hideMark/>
          </w:tcPr>
          <w:p w14:paraId="497ED19B" w14:textId="77777777" w:rsidR="00CF2322" w:rsidRPr="00CF2322" w:rsidRDefault="00CF2322" w:rsidP="00CF2322">
            <w:pPr>
              <w:keepNext/>
              <w:outlineLvl w:val="1"/>
              <w:rPr>
                <w:b/>
                <w:bCs/>
                <w:sz w:val="22"/>
                <w:szCs w:val="22"/>
              </w:rPr>
            </w:pPr>
            <w:r w:rsidRPr="00CF2322">
              <w:rPr>
                <w:b/>
                <w:bCs/>
                <w:sz w:val="22"/>
                <w:szCs w:val="22"/>
              </w:rPr>
              <w:t>Marca</w:t>
            </w:r>
          </w:p>
        </w:tc>
        <w:tc>
          <w:tcPr>
            <w:tcW w:w="1415" w:type="dxa"/>
            <w:tcBorders>
              <w:top w:val="single" w:sz="4" w:space="0" w:color="auto"/>
              <w:left w:val="single" w:sz="4" w:space="0" w:color="auto"/>
              <w:bottom w:val="single" w:sz="4" w:space="0" w:color="auto"/>
              <w:right w:val="single" w:sz="4" w:space="0" w:color="auto"/>
            </w:tcBorders>
            <w:hideMark/>
          </w:tcPr>
          <w:p w14:paraId="213BF2FD" w14:textId="77777777" w:rsidR="00CF2322" w:rsidRPr="00CF2322" w:rsidRDefault="00CF2322" w:rsidP="00CF2322">
            <w:pPr>
              <w:keepNext/>
              <w:outlineLvl w:val="1"/>
              <w:rPr>
                <w:b/>
                <w:bCs/>
                <w:sz w:val="22"/>
                <w:szCs w:val="22"/>
              </w:rPr>
            </w:pPr>
            <w:r w:rsidRPr="00CF2322">
              <w:rPr>
                <w:b/>
                <w:bCs/>
                <w:sz w:val="22"/>
                <w:szCs w:val="22"/>
              </w:rPr>
              <w:t>Quantidade</w:t>
            </w:r>
          </w:p>
        </w:tc>
        <w:tc>
          <w:tcPr>
            <w:tcW w:w="1071" w:type="dxa"/>
            <w:tcBorders>
              <w:top w:val="single" w:sz="4" w:space="0" w:color="auto"/>
              <w:left w:val="single" w:sz="4" w:space="0" w:color="auto"/>
              <w:bottom w:val="single" w:sz="4" w:space="0" w:color="auto"/>
              <w:right w:val="single" w:sz="4" w:space="0" w:color="auto"/>
            </w:tcBorders>
            <w:hideMark/>
          </w:tcPr>
          <w:p w14:paraId="13E598EC" w14:textId="77777777" w:rsidR="00CF2322" w:rsidRPr="00CF2322" w:rsidRDefault="00CF2322" w:rsidP="00CF2322">
            <w:pPr>
              <w:keepNext/>
              <w:outlineLvl w:val="1"/>
              <w:rPr>
                <w:b/>
                <w:bCs/>
                <w:sz w:val="22"/>
                <w:szCs w:val="22"/>
              </w:rPr>
            </w:pPr>
            <w:r w:rsidRPr="00CF2322">
              <w:rPr>
                <w:b/>
                <w:bCs/>
                <w:sz w:val="22"/>
                <w:szCs w:val="22"/>
              </w:rPr>
              <w:t>Unidade</w:t>
            </w:r>
          </w:p>
        </w:tc>
        <w:tc>
          <w:tcPr>
            <w:tcW w:w="1192" w:type="dxa"/>
            <w:tcBorders>
              <w:top w:val="single" w:sz="4" w:space="0" w:color="auto"/>
              <w:left w:val="single" w:sz="4" w:space="0" w:color="auto"/>
              <w:bottom w:val="single" w:sz="4" w:space="0" w:color="auto"/>
              <w:right w:val="single" w:sz="4" w:space="0" w:color="auto"/>
            </w:tcBorders>
            <w:hideMark/>
          </w:tcPr>
          <w:p w14:paraId="6A28545F" w14:textId="77777777" w:rsidR="00CF2322" w:rsidRPr="00CF2322" w:rsidRDefault="00CF2322" w:rsidP="00CF2322">
            <w:pPr>
              <w:keepNext/>
              <w:outlineLvl w:val="1"/>
              <w:rPr>
                <w:b/>
                <w:bCs/>
                <w:sz w:val="22"/>
                <w:szCs w:val="22"/>
              </w:rPr>
            </w:pPr>
            <w:r w:rsidRPr="00CF2322">
              <w:rPr>
                <w:b/>
                <w:bCs/>
                <w:sz w:val="22"/>
                <w:szCs w:val="22"/>
              </w:rPr>
              <w:t>Valor do Item</w:t>
            </w:r>
          </w:p>
        </w:tc>
        <w:tc>
          <w:tcPr>
            <w:tcW w:w="850" w:type="dxa"/>
            <w:tcBorders>
              <w:top w:val="single" w:sz="4" w:space="0" w:color="auto"/>
              <w:left w:val="single" w:sz="4" w:space="0" w:color="auto"/>
              <w:bottom w:val="single" w:sz="4" w:space="0" w:color="auto"/>
              <w:right w:val="single" w:sz="4" w:space="0" w:color="auto"/>
            </w:tcBorders>
            <w:hideMark/>
          </w:tcPr>
          <w:p w14:paraId="2839BB05" w14:textId="77777777" w:rsidR="00CF2322" w:rsidRPr="00CF2322" w:rsidRDefault="00CF2322" w:rsidP="00CF2322">
            <w:pPr>
              <w:keepNext/>
              <w:outlineLvl w:val="1"/>
              <w:rPr>
                <w:b/>
                <w:bCs/>
                <w:sz w:val="22"/>
                <w:szCs w:val="22"/>
              </w:rPr>
            </w:pPr>
            <w:r w:rsidRPr="00CF2322">
              <w:rPr>
                <w:b/>
                <w:bCs/>
                <w:sz w:val="22"/>
                <w:szCs w:val="22"/>
              </w:rPr>
              <w:t>Valor Total</w:t>
            </w:r>
          </w:p>
        </w:tc>
      </w:tr>
      <w:tr w:rsidR="00CF2322" w:rsidRPr="00CF2322" w14:paraId="2E0A27C4" w14:textId="77777777" w:rsidTr="00CF2322">
        <w:tc>
          <w:tcPr>
            <w:tcW w:w="9634" w:type="dxa"/>
            <w:gridSpan w:val="7"/>
            <w:tcBorders>
              <w:top w:val="single" w:sz="4" w:space="0" w:color="auto"/>
              <w:left w:val="single" w:sz="4" w:space="0" w:color="auto"/>
              <w:bottom w:val="single" w:sz="4" w:space="0" w:color="auto"/>
              <w:right w:val="single" w:sz="4" w:space="0" w:color="auto"/>
            </w:tcBorders>
            <w:hideMark/>
          </w:tcPr>
          <w:p w14:paraId="2D1587DE" w14:textId="77777777" w:rsidR="00CF2322" w:rsidRPr="00CF2322" w:rsidRDefault="00CF2322" w:rsidP="00CF2322">
            <w:pPr>
              <w:keepNext/>
              <w:outlineLvl w:val="1"/>
              <w:rPr>
                <w:b/>
                <w:bCs/>
                <w:sz w:val="22"/>
                <w:szCs w:val="22"/>
              </w:rPr>
            </w:pPr>
            <w:r w:rsidRPr="00CF2322">
              <w:rPr>
                <w:b/>
                <w:bCs/>
                <w:sz w:val="22"/>
                <w:szCs w:val="22"/>
              </w:rPr>
              <w:t>DISTRIBUIDORA ENTSORGA LTDA</w:t>
            </w:r>
          </w:p>
        </w:tc>
      </w:tr>
      <w:tr w:rsidR="00CF2322" w:rsidRPr="00CF2322" w14:paraId="5E79D655"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56A4550E" w14:textId="77777777" w:rsidR="00CF2322" w:rsidRPr="00CF2322" w:rsidRDefault="00CF2322" w:rsidP="00CF2322">
            <w:pPr>
              <w:keepNext/>
              <w:outlineLvl w:val="1"/>
              <w:rPr>
                <w:sz w:val="22"/>
                <w:szCs w:val="22"/>
              </w:rPr>
            </w:pPr>
            <w:r w:rsidRPr="00CF2322">
              <w:rPr>
                <w:sz w:val="22"/>
                <w:szCs w:val="22"/>
              </w:rPr>
              <w:t>0017</w:t>
            </w:r>
          </w:p>
        </w:tc>
        <w:tc>
          <w:tcPr>
            <w:tcW w:w="3072" w:type="dxa"/>
            <w:tcBorders>
              <w:top w:val="single" w:sz="4" w:space="0" w:color="auto"/>
              <w:left w:val="single" w:sz="4" w:space="0" w:color="auto"/>
              <w:bottom w:val="single" w:sz="4" w:space="0" w:color="auto"/>
              <w:right w:val="single" w:sz="4" w:space="0" w:color="auto"/>
            </w:tcBorders>
            <w:hideMark/>
          </w:tcPr>
          <w:p w14:paraId="795FE588" w14:textId="77777777" w:rsidR="00CF2322" w:rsidRPr="00CF2322" w:rsidRDefault="00CF2322" w:rsidP="00CF2322">
            <w:pPr>
              <w:keepNext/>
              <w:outlineLvl w:val="1"/>
              <w:rPr>
                <w:sz w:val="22"/>
                <w:szCs w:val="22"/>
              </w:rPr>
            </w:pPr>
            <w:r w:rsidRPr="00CF2322">
              <w:rPr>
                <w:sz w:val="22"/>
                <w:szCs w:val="22"/>
              </w:rPr>
              <w:t>BARRA DE CANO DE 75 MM COM 06 METROS</w:t>
            </w:r>
          </w:p>
        </w:tc>
        <w:tc>
          <w:tcPr>
            <w:tcW w:w="1304" w:type="dxa"/>
            <w:tcBorders>
              <w:top w:val="single" w:sz="4" w:space="0" w:color="auto"/>
              <w:left w:val="single" w:sz="4" w:space="0" w:color="auto"/>
              <w:bottom w:val="single" w:sz="4" w:space="0" w:color="auto"/>
              <w:right w:val="single" w:sz="4" w:space="0" w:color="auto"/>
            </w:tcBorders>
            <w:hideMark/>
          </w:tcPr>
          <w:p w14:paraId="6EF57E60"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5AFE1F56" w14:textId="77777777" w:rsidR="00CF2322" w:rsidRPr="00CF2322" w:rsidRDefault="00CF2322" w:rsidP="00CF2322">
            <w:pPr>
              <w:keepNext/>
              <w:outlineLvl w:val="1"/>
              <w:rPr>
                <w:sz w:val="22"/>
                <w:szCs w:val="22"/>
              </w:rPr>
            </w:pPr>
            <w:r w:rsidRPr="00CF2322">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620506D3"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75E3ABA9" w14:textId="77777777" w:rsidR="00CF2322" w:rsidRPr="00CF2322" w:rsidRDefault="00CF2322" w:rsidP="00CF2322">
            <w:pPr>
              <w:keepNext/>
              <w:jc w:val="right"/>
              <w:outlineLvl w:val="1"/>
              <w:rPr>
                <w:sz w:val="22"/>
                <w:szCs w:val="22"/>
              </w:rPr>
            </w:pPr>
            <w:r w:rsidRPr="00CF2322">
              <w:rPr>
                <w:sz w:val="22"/>
                <w:szCs w:val="22"/>
              </w:rPr>
              <w:t>77,00</w:t>
            </w:r>
          </w:p>
        </w:tc>
        <w:tc>
          <w:tcPr>
            <w:tcW w:w="850" w:type="dxa"/>
            <w:tcBorders>
              <w:top w:val="single" w:sz="4" w:space="0" w:color="auto"/>
              <w:left w:val="single" w:sz="4" w:space="0" w:color="auto"/>
              <w:bottom w:val="single" w:sz="4" w:space="0" w:color="auto"/>
              <w:right w:val="single" w:sz="4" w:space="0" w:color="auto"/>
            </w:tcBorders>
            <w:hideMark/>
          </w:tcPr>
          <w:p w14:paraId="3A3D5886" w14:textId="77777777" w:rsidR="00CF2322" w:rsidRPr="00CF2322" w:rsidRDefault="00CF2322" w:rsidP="00CF2322">
            <w:pPr>
              <w:keepNext/>
              <w:jc w:val="right"/>
              <w:outlineLvl w:val="1"/>
              <w:rPr>
                <w:sz w:val="22"/>
                <w:szCs w:val="22"/>
              </w:rPr>
            </w:pPr>
            <w:r w:rsidRPr="00CF2322">
              <w:rPr>
                <w:sz w:val="22"/>
                <w:szCs w:val="22"/>
              </w:rPr>
              <w:t>38.500,00</w:t>
            </w:r>
          </w:p>
        </w:tc>
      </w:tr>
      <w:tr w:rsidR="00CF2322" w:rsidRPr="00CF2322" w14:paraId="56F25805"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032069ED" w14:textId="77777777" w:rsidR="00CF2322" w:rsidRPr="00CF2322" w:rsidRDefault="00CF2322" w:rsidP="00CF2322">
            <w:pPr>
              <w:keepNext/>
              <w:outlineLvl w:val="1"/>
              <w:rPr>
                <w:sz w:val="22"/>
                <w:szCs w:val="22"/>
              </w:rPr>
            </w:pPr>
            <w:r w:rsidRPr="00CF2322">
              <w:rPr>
                <w:sz w:val="22"/>
                <w:szCs w:val="22"/>
              </w:rPr>
              <w:t>0068</w:t>
            </w:r>
          </w:p>
        </w:tc>
        <w:tc>
          <w:tcPr>
            <w:tcW w:w="3072" w:type="dxa"/>
            <w:tcBorders>
              <w:top w:val="single" w:sz="4" w:space="0" w:color="auto"/>
              <w:left w:val="single" w:sz="4" w:space="0" w:color="auto"/>
              <w:bottom w:val="single" w:sz="4" w:space="0" w:color="auto"/>
              <w:right w:val="single" w:sz="4" w:space="0" w:color="auto"/>
            </w:tcBorders>
            <w:hideMark/>
          </w:tcPr>
          <w:p w14:paraId="0D8C63EB" w14:textId="77777777" w:rsidR="00CF2322" w:rsidRPr="00CF2322" w:rsidRDefault="00CF2322" w:rsidP="00CF2322">
            <w:pPr>
              <w:keepNext/>
              <w:outlineLvl w:val="1"/>
              <w:rPr>
                <w:sz w:val="22"/>
                <w:szCs w:val="22"/>
              </w:rPr>
            </w:pPr>
            <w:r w:rsidRPr="00CF2322">
              <w:rPr>
                <w:sz w:val="22"/>
                <w:szCs w:val="22"/>
              </w:rPr>
              <w:t>JOELHO 1/2 AZUL C/BUCHA DE LATAO</w:t>
            </w:r>
          </w:p>
        </w:tc>
        <w:tc>
          <w:tcPr>
            <w:tcW w:w="1304" w:type="dxa"/>
            <w:tcBorders>
              <w:top w:val="single" w:sz="4" w:space="0" w:color="auto"/>
              <w:left w:val="single" w:sz="4" w:space="0" w:color="auto"/>
              <w:bottom w:val="single" w:sz="4" w:space="0" w:color="auto"/>
              <w:right w:val="single" w:sz="4" w:space="0" w:color="auto"/>
            </w:tcBorders>
            <w:hideMark/>
          </w:tcPr>
          <w:p w14:paraId="5DE1F867"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41036394"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3A100EA4"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150E764F" w14:textId="77777777" w:rsidR="00CF2322" w:rsidRPr="00CF2322" w:rsidRDefault="00CF2322" w:rsidP="00CF2322">
            <w:pPr>
              <w:keepNext/>
              <w:jc w:val="right"/>
              <w:outlineLvl w:val="1"/>
              <w:rPr>
                <w:sz w:val="22"/>
                <w:szCs w:val="22"/>
              </w:rPr>
            </w:pPr>
            <w:r w:rsidRPr="00CF2322">
              <w:rPr>
                <w:sz w:val="22"/>
                <w:szCs w:val="22"/>
              </w:rPr>
              <w:t>4,03</w:t>
            </w:r>
          </w:p>
        </w:tc>
        <w:tc>
          <w:tcPr>
            <w:tcW w:w="850" w:type="dxa"/>
            <w:tcBorders>
              <w:top w:val="single" w:sz="4" w:space="0" w:color="auto"/>
              <w:left w:val="single" w:sz="4" w:space="0" w:color="auto"/>
              <w:bottom w:val="single" w:sz="4" w:space="0" w:color="auto"/>
              <w:right w:val="single" w:sz="4" w:space="0" w:color="auto"/>
            </w:tcBorders>
            <w:hideMark/>
          </w:tcPr>
          <w:p w14:paraId="66DD682C" w14:textId="77777777" w:rsidR="00CF2322" w:rsidRPr="00CF2322" w:rsidRDefault="00CF2322" w:rsidP="00CF2322">
            <w:pPr>
              <w:keepNext/>
              <w:jc w:val="right"/>
              <w:outlineLvl w:val="1"/>
              <w:rPr>
                <w:sz w:val="22"/>
                <w:szCs w:val="22"/>
              </w:rPr>
            </w:pPr>
            <w:r w:rsidRPr="00CF2322">
              <w:rPr>
                <w:sz w:val="22"/>
                <w:szCs w:val="22"/>
              </w:rPr>
              <w:t>4.030,00</w:t>
            </w:r>
          </w:p>
        </w:tc>
      </w:tr>
      <w:tr w:rsidR="00CF2322" w:rsidRPr="00CF2322" w14:paraId="6D0A5489"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2A279135" w14:textId="77777777" w:rsidR="00CF2322" w:rsidRPr="00CF2322" w:rsidRDefault="00CF2322" w:rsidP="00CF2322">
            <w:pPr>
              <w:keepNext/>
              <w:outlineLvl w:val="1"/>
              <w:rPr>
                <w:sz w:val="22"/>
                <w:szCs w:val="22"/>
              </w:rPr>
            </w:pPr>
            <w:r w:rsidRPr="00CF2322">
              <w:rPr>
                <w:sz w:val="22"/>
                <w:szCs w:val="22"/>
              </w:rPr>
              <w:t>0069</w:t>
            </w:r>
          </w:p>
        </w:tc>
        <w:tc>
          <w:tcPr>
            <w:tcW w:w="3072" w:type="dxa"/>
            <w:tcBorders>
              <w:top w:val="single" w:sz="4" w:space="0" w:color="auto"/>
              <w:left w:val="single" w:sz="4" w:space="0" w:color="auto"/>
              <w:bottom w:val="single" w:sz="4" w:space="0" w:color="auto"/>
              <w:right w:val="single" w:sz="4" w:space="0" w:color="auto"/>
            </w:tcBorders>
            <w:hideMark/>
          </w:tcPr>
          <w:p w14:paraId="4AFA6C7B" w14:textId="77777777" w:rsidR="00CF2322" w:rsidRPr="00CF2322" w:rsidRDefault="00CF2322" w:rsidP="00CF2322">
            <w:pPr>
              <w:keepNext/>
              <w:outlineLvl w:val="1"/>
              <w:rPr>
                <w:sz w:val="22"/>
                <w:szCs w:val="22"/>
              </w:rPr>
            </w:pPr>
            <w:r w:rsidRPr="00CF2322">
              <w:rPr>
                <w:sz w:val="22"/>
                <w:szCs w:val="22"/>
              </w:rPr>
              <w:t>JOELHO 3/4 SOLDÁVEL ROSCÁVEL</w:t>
            </w:r>
          </w:p>
        </w:tc>
        <w:tc>
          <w:tcPr>
            <w:tcW w:w="1304" w:type="dxa"/>
            <w:tcBorders>
              <w:top w:val="single" w:sz="4" w:space="0" w:color="auto"/>
              <w:left w:val="single" w:sz="4" w:space="0" w:color="auto"/>
              <w:bottom w:val="single" w:sz="4" w:space="0" w:color="auto"/>
              <w:right w:val="single" w:sz="4" w:space="0" w:color="auto"/>
            </w:tcBorders>
            <w:hideMark/>
          </w:tcPr>
          <w:p w14:paraId="04207671"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6C6C72AA"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1777C4A5"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68BF9C2C" w14:textId="77777777" w:rsidR="00CF2322" w:rsidRPr="00CF2322" w:rsidRDefault="00CF2322" w:rsidP="00CF2322">
            <w:pPr>
              <w:keepNext/>
              <w:jc w:val="right"/>
              <w:outlineLvl w:val="1"/>
              <w:rPr>
                <w:sz w:val="22"/>
                <w:szCs w:val="22"/>
              </w:rPr>
            </w:pPr>
            <w:r w:rsidRPr="00CF2322">
              <w:rPr>
                <w:sz w:val="22"/>
                <w:szCs w:val="22"/>
              </w:rPr>
              <w:t>2,68</w:t>
            </w:r>
          </w:p>
        </w:tc>
        <w:tc>
          <w:tcPr>
            <w:tcW w:w="850" w:type="dxa"/>
            <w:tcBorders>
              <w:top w:val="single" w:sz="4" w:space="0" w:color="auto"/>
              <w:left w:val="single" w:sz="4" w:space="0" w:color="auto"/>
              <w:bottom w:val="single" w:sz="4" w:space="0" w:color="auto"/>
              <w:right w:val="single" w:sz="4" w:space="0" w:color="auto"/>
            </w:tcBorders>
            <w:hideMark/>
          </w:tcPr>
          <w:p w14:paraId="19D72099" w14:textId="77777777" w:rsidR="00CF2322" w:rsidRPr="00CF2322" w:rsidRDefault="00CF2322" w:rsidP="00CF2322">
            <w:pPr>
              <w:keepNext/>
              <w:jc w:val="right"/>
              <w:outlineLvl w:val="1"/>
              <w:rPr>
                <w:sz w:val="22"/>
                <w:szCs w:val="22"/>
              </w:rPr>
            </w:pPr>
            <w:r w:rsidRPr="00CF2322">
              <w:rPr>
                <w:sz w:val="22"/>
                <w:szCs w:val="22"/>
              </w:rPr>
              <w:t>2.680,00</w:t>
            </w:r>
          </w:p>
        </w:tc>
      </w:tr>
      <w:tr w:rsidR="00CF2322" w:rsidRPr="00CF2322" w14:paraId="4C1F1A8C"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405A0C7F" w14:textId="77777777" w:rsidR="00CF2322" w:rsidRPr="00CF2322" w:rsidRDefault="00CF2322" w:rsidP="00CF2322">
            <w:pPr>
              <w:keepNext/>
              <w:outlineLvl w:val="1"/>
              <w:rPr>
                <w:sz w:val="22"/>
                <w:szCs w:val="22"/>
              </w:rPr>
            </w:pPr>
            <w:r w:rsidRPr="00CF2322">
              <w:rPr>
                <w:sz w:val="22"/>
                <w:szCs w:val="22"/>
              </w:rPr>
              <w:t>0070</w:t>
            </w:r>
          </w:p>
        </w:tc>
        <w:tc>
          <w:tcPr>
            <w:tcW w:w="3072" w:type="dxa"/>
            <w:tcBorders>
              <w:top w:val="single" w:sz="4" w:space="0" w:color="auto"/>
              <w:left w:val="single" w:sz="4" w:space="0" w:color="auto"/>
              <w:bottom w:val="single" w:sz="4" w:space="0" w:color="auto"/>
              <w:right w:val="single" w:sz="4" w:space="0" w:color="auto"/>
            </w:tcBorders>
            <w:hideMark/>
          </w:tcPr>
          <w:p w14:paraId="599E405F" w14:textId="77777777" w:rsidR="00CF2322" w:rsidRPr="00CF2322" w:rsidRDefault="00CF2322" w:rsidP="00CF2322">
            <w:pPr>
              <w:keepNext/>
              <w:outlineLvl w:val="1"/>
              <w:rPr>
                <w:sz w:val="22"/>
                <w:szCs w:val="22"/>
              </w:rPr>
            </w:pPr>
            <w:r w:rsidRPr="00CF2322">
              <w:rPr>
                <w:sz w:val="22"/>
                <w:szCs w:val="22"/>
              </w:rPr>
              <w:t>JOELHO DE PVC MARROM 40 MM- 90º</w:t>
            </w:r>
          </w:p>
        </w:tc>
        <w:tc>
          <w:tcPr>
            <w:tcW w:w="1304" w:type="dxa"/>
            <w:tcBorders>
              <w:top w:val="single" w:sz="4" w:space="0" w:color="auto"/>
              <w:left w:val="single" w:sz="4" w:space="0" w:color="auto"/>
              <w:bottom w:val="single" w:sz="4" w:space="0" w:color="auto"/>
              <w:right w:val="single" w:sz="4" w:space="0" w:color="auto"/>
            </w:tcBorders>
            <w:hideMark/>
          </w:tcPr>
          <w:p w14:paraId="27186D5B"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6F2804A9" w14:textId="77777777" w:rsidR="00CF2322" w:rsidRPr="00CF2322" w:rsidRDefault="00CF2322" w:rsidP="00CF2322">
            <w:pPr>
              <w:keepNext/>
              <w:outlineLvl w:val="1"/>
              <w:rPr>
                <w:sz w:val="22"/>
                <w:szCs w:val="22"/>
              </w:rPr>
            </w:pPr>
            <w:r w:rsidRPr="00CF2322">
              <w:rPr>
                <w:sz w:val="22"/>
                <w:szCs w:val="22"/>
              </w:rPr>
              <w:t>800</w:t>
            </w:r>
          </w:p>
        </w:tc>
        <w:tc>
          <w:tcPr>
            <w:tcW w:w="1071" w:type="dxa"/>
            <w:tcBorders>
              <w:top w:val="single" w:sz="4" w:space="0" w:color="auto"/>
              <w:left w:val="single" w:sz="4" w:space="0" w:color="auto"/>
              <w:bottom w:val="single" w:sz="4" w:space="0" w:color="auto"/>
              <w:right w:val="single" w:sz="4" w:space="0" w:color="auto"/>
            </w:tcBorders>
            <w:hideMark/>
          </w:tcPr>
          <w:p w14:paraId="6D47C7F8"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75CF699B" w14:textId="77777777" w:rsidR="00CF2322" w:rsidRPr="00CF2322" w:rsidRDefault="00CF2322" w:rsidP="00CF2322">
            <w:pPr>
              <w:keepNext/>
              <w:jc w:val="right"/>
              <w:outlineLvl w:val="1"/>
              <w:rPr>
                <w:sz w:val="22"/>
                <w:szCs w:val="22"/>
              </w:rPr>
            </w:pPr>
            <w:r w:rsidRPr="00CF2322">
              <w:rPr>
                <w:sz w:val="22"/>
                <w:szCs w:val="22"/>
              </w:rPr>
              <w:t>5,00</w:t>
            </w:r>
          </w:p>
        </w:tc>
        <w:tc>
          <w:tcPr>
            <w:tcW w:w="850" w:type="dxa"/>
            <w:tcBorders>
              <w:top w:val="single" w:sz="4" w:space="0" w:color="auto"/>
              <w:left w:val="single" w:sz="4" w:space="0" w:color="auto"/>
              <w:bottom w:val="single" w:sz="4" w:space="0" w:color="auto"/>
              <w:right w:val="single" w:sz="4" w:space="0" w:color="auto"/>
            </w:tcBorders>
            <w:hideMark/>
          </w:tcPr>
          <w:p w14:paraId="31134A88" w14:textId="77777777" w:rsidR="00CF2322" w:rsidRPr="00CF2322" w:rsidRDefault="00CF2322" w:rsidP="00CF2322">
            <w:pPr>
              <w:keepNext/>
              <w:jc w:val="right"/>
              <w:outlineLvl w:val="1"/>
              <w:rPr>
                <w:sz w:val="22"/>
                <w:szCs w:val="22"/>
              </w:rPr>
            </w:pPr>
            <w:r w:rsidRPr="00CF2322">
              <w:rPr>
                <w:sz w:val="22"/>
                <w:szCs w:val="22"/>
              </w:rPr>
              <w:t>4.000,00</w:t>
            </w:r>
          </w:p>
        </w:tc>
      </w:tr>
      <w:tr w:rsidR="00CF2322" w:rsidRPr="00CF2322" w14:paraId="6D200052"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604A5036" w14:textId="77777777" w:rsidR="00CF2322" w:rsidRPr="00CF2322" w:rsidRDefault="00CF2322" w:rsidP="00CF2322">
            <w:pPr>
              <w:keepNext/>
              <w:outlineLvl w:val="1"/>
              <w:rPr>
                <w:sz w:val="22"/>
                <w:szCs w:val="22"/>
              </w:rPr>
            </w:pPr>
            <w:r w:rsidRPr="00CF2322">
              <w:rPr>
                <w:sz w:val="22"/>
                <w:szCs w:val="22"/>
              </w:rPr>
              <w:t>0075</w:t>
            </w:r>
          </w:p>
        </w:tc>
        <w:tc>
          <w:tcPr>
            <w:tcW w:w="3072" w:type="dxa"/>
            <w:tcBorders>
              <w:top w:val="single" w:sz="4" w:space="0" w:color="auto"/>
              <w:left w:val="single" w:sz="4" w:space="0" w:color="auto"/>
              <w:bottom w:val="single" w:sz="4" w:space="0" w:color="auto"/>
              <w:right w:val="single" w:sz="4" w:space="0" w:color="auto"/>
            </w:tcBorders>
            <w:hideMark/>
          </w:tcPr>
          <w:p w14:paraId="1DF42247" w14:textId="77777777" w:rsidR="00CF2322" w:rsidRPr="00CF2322" w:rsidRDefault="00CF2322" w:rsidP="00CF2322">
            <w:pPr>
              <w:keepNext/>
              <w:outlineLvl w:val="1"/>
              <w:rPr>
                <w:sz w:val="22"/>
                <w:szCs w:val="22"/>
              </w:rPr>
            </w:pPr>
            <w:r w:rsidRPr="00CF2322">
              <w:rPr>
                <w:sz w:val="22"/>
                <w:szCs w:val="22"/>
              </w:rPr>
              <w:t>LUVA DE 50MM</w:t>
            </w:r>
          </w:p>
        </w:tc>
        <w:tc>
          <w:tcPr>
            <w:tcW w:w="1304" w:type="dxa"/>
            <w:tcBorders>
              <w:top w:val="single" w:sz="4" w:space="0" w:color="auto"/>
              <w:left w:val="single" w:sz="4" w:space="0" w:color="auto"/>
              <w:bottom w:val="single" w:sz="4" w:space="0" w:color="auto"/>
              <w:right w:val="single" w:sz="4" w:space="0" w:color="auto"/>
            </w:tcBorders>
            <w:hideMark/>
          </w:tcPr>
          <w:p w14:paraId="39D3BE88"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0B413EDA" w14:textId="77777777" w:rsidR="00CF2322" w:rsidRPr="00CF2322" w:rsidRDefault="00CF2322" w:rsidP="00CF2322">
            <w:pPr>
              <w:keepNext/>
              <w:outlineLvl w:val="1"/>
              <w:rPr>
                <w:sz w:val="22"/>
                <w:szCs w:val="22"/>
              </w:rPr>
            </w:pPr>
            <w:r w:rsidRPr="00CF2322">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6114E3B2"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79700DD6" w14:textId="77777777" w:rsidR="00CF2322" w:rsidRPr="00CF2322" w:rsidRDefault="00CF2322" w:rsidP="00CF2322">
            <w:pPr>
              <w:keepNext/>
              <w:jc w:val="right"/>
              <w:outlineLvl w:val="1"/>
              <w:rPr>
                <w:sz w:val="22"/>
                <w:szCs w:val="22"/>
              </w:rPr>
            </w:pPr>
            <w:r w:rsidRPr="00CF2322">
              <w:rPr>
                <w:sz w:val="22"/>
                <w:szCs w:val="22"/>
              </w:rPr>
              <w:t>3,30</w:t>
            </w:r>
          </w:p>
        </w:tc>
        <w:tc>
          <w:tcPr>
            <w:tcW w:w="850" w:type="dxa"/>
            <w:tcBorders>
              <w:top w:val="single" w:sz="4" w:space="0" w:color="auto"/>
              <w:left w:val="single" w:sz="4" w:space="0" w:color="auto"/>
              <w:bottom w:val="single" w:sz="4" w:space="0" w:color="auto"/>
              <w:right w:val="single" w:sz="4" w:space="0" w:color="auto"/>
            </w:tcBorders>
            <w:hideMark/>
          </w:tcPr>
          <w:p w14:paraId="5ACFB357" w14:textId="77777777" w:rsidR="00CF2322" w:rsidRPr="00CF2322" w:rsidRDefault="00CF2322" w:rsidP="00CF2322">
            <w:pPr>
              <w:keepNext/>
              <w:jc w:val="right"/>
              <w:outlineLvl w:val="1"/>
              <w:rPr>
                <w:sz w:val="22"/>
                <w:szCs w:val="22"/>
              </w:rPr>
            </w:pPr>
            <w:r w:rsidRPr="00CF2322">
              <w:rPr>
                <w:sz w:val="22"/>
                <w:szCs w:val="22"/>
              </w:rPr>
              <w:t>1.650,00</w:t>
            </w:r>
          </w:p>
        </w:tc>
      </w:tr>
      <w:tr w:rsidR="00CF2322" w:rsidRPr="00CF2322" w14:paraId="4DB13553"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7FB94352" w14:textId="77777777" w:rsidR="00CF2322" w:rsidRPr="00CF2322" w:rsidRDefault="00CF2322" w:rsidP="00CF2322">
            <w:pPr>
              <w:keepNext/>
              <w:outlineLvl w:val="1"/>
              <w:rPr>
                <w:sz w:val="22"/>
                <w:szCs w:val="22"/>
              </w:rPr>
            </w:pPr>
            <w:r w:rsidRPr="00CF2322">
              <w:rPr>
                <w:sz w:val="22"/>
                <w:szCs w:val="22"/>
              </w:rPr>
              <w:t>0080</w:t>
            </w:r>
          </w:p>
        </w:tc>
        <w:tc>
          <w:tcPr>
            <w:tcW w:w="3072" w:type="dxa"/>
            <w:tcBorders>
              <w:top w:val="single" w:sz="4" w:space="0" w:color="auto"/>
              <w:left w:val="single" w:sz="4" w:space="0" w:color="auto"/>
              <w:bottom w:val="single" w:sz="4" w:space="0" w:color="auto"/>
              <w:right w:val="single" w:sz="4" w:space="0" w:color="auto"/>
            </w:tcBorders>
            <w:hideMark/>
          </w:tcPr>
          <w:p w14:paraId="0158929C" w14:textId="77777777" w:rsidR="00CF2322" w:rsidRPr="00CF2322" w:rsidRDefault="00CF2322" w:rsidP="00CF2322">
            <w:pPr>
              <w:keepNext/>
              <w:outlineLvl w:val="1"/>
              <w:rPr>
                <w:sz w:val="22"/>
                <w:szCs w:val="22"/>
              </w:rPr>
            </w:pPr>
            <w:r w:rsidRPr="00CF2322">
              <w:rPr>
                <w:sz w:val="22"/>
                <w:szCs w:val="22"/>
              </w:rPr>
              <w:t>LUVA DE PVC SOLDÁVEL 50 MM AZUL</w:t>
            </w:r>
          </w:p>
        </w:tc>
        <w:tc>
          <w:tcPr>
            <w:tcW w:w="1304" w:type="dxa"/>
            <w:tcBorders>
              <w:top w:val="single" w:sz="4" w:space="0" w:color="auto"/>
              <w:left w:val="single" w:sz="4" w:space="0" w:color="auto"/>
              <w:bottom w:val="single" w:sz="4" w:space="0" w:color="auto"/>
              <w:right w:val="single" w:sz="4" w:space="0" w:color="auto"/>
            </w:tcBorders>
            <w:hideMark/>
          </w:tcPr>
          <w:p w14:paraId="3DFD1ADA"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31FBEF2B" w14:textId="77777777" w:rsidR="00CF2322" w:rsidRPr="00CF2322" w:rsidRDefault="00CF2322" w:rsidP="00CF2322">
            <w:pPr>
              <w:keepNext/>
              <w:outlineLvl w:val="1"/>
              <w:rPr>
                <w:sz w:val="22"/>
                <w:szCs w:val="22"/>
              </w:rPr>
            </w:pPr>
            <w:r w:rsidRPr="00CF2322">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29131EFD"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5D9885A2" w14:textId="77777777" w:rsidR="00CF2322" w:rsidRPr="00CF2322" w:rsidRDefault="00CF2322" w:rsidP="00CF2322">
            <w:pPr>
              <w:keepNext/>
              <w:jc w:val="right"/>
              <w:outlineLvl w:val="1"/>
              <w:rPr>
                <w:sz w:val="22"/>
                <w:szCs w:val="22"/>
              </w:rPr>
            </w:pPr>
            <w:r w:rsidRPr="00CF2322">
              <w:rPr>
                <w:sz w:val="22"/>
                <w:szCs w:val="22"/>
              </w:rPr>
              <w:t>6,12</w:t>
            </w:r>
          </w:p>
        </w:tc>
        <w:tc>
          <w:tcPr>
            <w:tcW w:w="850" w:type="dxa"/>
            <w:tcBorders>
              <w:top w:val="single" w:sz="4" w:space="0" w:color="auto"/>
              <w:left w:val="single" w:sz="4" w:space="0" w:color="auto"/>
              <w:bottom w:val="single" w:sz="4" w:space="0" w:color="auto"/>
              <w:right w:val="single" w:sz="4" w:space="0" w:color="auto"/>
            </w:tcBorders>
            <w:hideMark/>
          </w:tcPr>
          <w:p w14:paraId="3F4B7AC2" w14:textId="77777777" w:rsidR="00CF2322" w:rsidRPr="00CF2322" w:rsidRDefault="00CF2322" w:rsidP="00CF2322">
            <w:pPr>
              <w:keepNext/>
              <w:jc w:val="right"/>
              <w:outlineLvl w:val="1"/>
              <w:rPr>
                <w:sz w:val="22"/>
                <w:szCs w:val="22"/>
              </w:rPr>
            </w:pPr>
            <w:r w:rsidRPr="00CF2322">
              <w:rPr>
                <w:sz w:val="22"/>
                <w:szCs w:val="22"/>
              </w:rPr>
              <w:t>3.060,00</w:t>
            </w:r>
          </w:p>
        </w:tc>
      </w:tr>
      <w:tr w:rsidR="00CF2322" w:rsidRPr="00CF2322" w14:paraId="6806A5A5"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22578A9E" w14:textId="77777777" w:rsidR="00CF2322" w:rsidRPr="00CF2322" w:rsidRDefault="00CF2322" w:rsidP="00CF2322">
            <w:pPr>
              <w:keepNext/>
              <w:outlineLvl w:val="1"/>
              <w:rPr>
                <w:sz w:val="22"/>
                <w:szCs w:val="22"/>
              </w:rPr>
            </w:pPr>
            <w:r w:rsidRPr="00CF2322">
              <w:rPr>
                <w:sz w:val="22"/>
                <w:szCs w:val="22"/>
              </w:rPr>
              <w:t>0081</w:t>
            </w:r>
          </w:p>
        </w:tc>
        <w:tc>
          <w:tcPr>
            <w:tcW w:w="3072" w:type="dxa"/>
            <w:tcBorders>
              <w:top w:val="single" w:sz="4" w:space="0" w:color="auto"/>
              <w:left w:val="single" w:sz="4" w:space="0" w:color="auto"/>
              <w:bottom w:val="single" w:sz="4" w:space="0" w:color="auto"/>
              <w:right w:val="single" w:sz="4" w:space="0" w:color="auto"/>
            </w:tcBorders>
            <w:hideMark/>
          </w:tcPr>
          <w:p w14:paraId="136DA498" w14:textId="77777777" w:rsidR="00CF2322" w:rsidRPr="00CF2322" w:rsidRDefault="00CF2322" w:rsidP="00CF2322">
            <w:pPr>
              <w:keepNext/>
              <w:outlineLvl w:val="1"/>
              <w:rPr>
                <w:sz w:val="22"/>
                <w:szCs w:val="22"/>
              </w:rPr>
            </w:pPr>
            <w:r w:rsidRPr="00CF2322">
              <w:rPr>
                <w:sz w:val="22"/>
                <w:szCs w:val="22"/>
              </w:rPr>
              <w:t>LUVA DE PVC SOLDÁVEL 50MM MARROM</w:t>
            </w:r>
          </w:p>
        </w:tc>
        <w:tc>
          <w:tcPr>
            <w:tcW w:w="1304" w:type="dxa"/>
            <w:tcBorders>
              <w:top w:val="single" w:sz="4" w:space="0" w:color="auto"/>
              <w:left w:val="single" w:sz="4" w:space="0" w:color="auto"/>
              <w:bottom w:val="single" w:sz="4" w:space="0" w:color="auto"/>
              <w:right w:val="single" w:sz="4" w:space="0" w:color="auto"/>
            </w:tcBorders>
            <w:hideMark/>
          </w:tcPr>
          <w:p w14:paraId="705022D9"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4D55D18C" w14:textId="77777777" w:rsidR="00CF2322" w:rsidRPr="00CF2322" w:rsidRDefault="00CF2322" w:rsidP="00CF2322">
            <w:pPr>
              <w:keepNext/>
              <w:outlineLvl w:val="1"/>
              <w:rPr>
                <w:sz w:val="22"/>
                <w:szCs w:val="22"/>
              </w:rPr>
            </w:pPr>
            <w:r w:rsidRPr="00CF2322">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7054C54B"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7F21BB7D" w14:textId="77777777" w:rsidR="00CF2322" w:rsidRPr="00CF2322" w:rsidRDefault="00CF2322" w:rsidP="00CF2322">
            <w:pPr>
              <w:keepNext/>
              <w:jc w:val="right"/>
              <w:outlineLvl w:val="1"/>
              <w:rPr>
                <w:sz w:val="22"/>
                <w:szCs w:val="22"/>
              </w:rPr>
            </w:pPr>
            <w:r w:rsidRPr="00CF2322">
              <w:rPr>
                <w:sz w:val="22"/>
                <w:szCs w:val="22"/>
              </w:rPr>
              <w:t>3,90</w:t>
            </w:r>
          </w:p>
        </w:tc>
        <w:tc>
          <w:tcPr>
            <w:tcW w:w="850" w:type="dxa"/>
            <w:tcBorders>
              <w:top w:val="single" w:sz="4" w:space="0" w:color="auto"/>
              <w:left w:val="single" w:sz="4" w:space="0" w:color="auto"/>
              <w:bottom w:val="single" w:sz="4" w:space="0" w:color="auto"/>
              <w:right w:val="single" w:sz="4" w:space="0" w:color="auto"/>
            </w:tcBorders>
            <w:hideMark/>
          </w:tcPr>
          <w:p w14:paraId="4C22A451" w14:textId="77777777" w:rsidR="00CF2322" w:rsidRPr="00CF2322" w:rsidRDefault="00CF2322" w:rsidP="00CF2322">
            <w:pPr>
              <w:keepNext/>
              <w:jc w:val="right"/>
              <w:outlineLvl w:val="1"/>
              <w:rPr>
                <w:sz w:val="22"/>
                <w:szCs w:val="22"/>
              </w:rPr>
            </w:pPr>
            <w:r w:rsidRPr="00CF2322">
              <w:rPr>
                <w:sz w:val="22"/>
                <w:szCs w:val="22"/>
              </w:rPr>
              <w:t>1.950,00</w:t>
            </w:r>
          </w:p>
        </w:tc>
      </w:tr>
      <w:tr w:rsidR="00CF2322" w:rsidRPr="00CF2322" w14:paraId="0767B926"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620D8C32" w14:textId="77777777" w:rsidR="00CF2322" w:rsidRPr="00CF2322" w:rsidRDefault="00CF2322" w:rsidP="00CF2322">
            <w:pPr>
              <w:keepNext/>
              <w:outlineLvl w:val="1"/>
              <w:rPr>
                <w:sz w:val="22"/>
                <w:szCs w:val="22"/>
              </w:rPr>
            </w:pPr>
            <w:r w:rsidRPr="00CF2322">
              <w:rPr>
                <w:sz w:val="22"/>
                <w:szCs w:val="22"/>
              </w:rPr>
              <w:t>0084</w:t>
            </w:r>
          </w:p>
        </w:tc>
        <w:tc>
          <w:tcPr>
            <w:tcW w:w="3072" w:type="dxa"/>
            <w:tcBorders>
              <w:top w:val="single" w:sz="4" w:space="0" w:color="auto"/>
              <w:left w:val="single" w:sz="4" w:space="0" w:color="auto"/>
              <w:bottom w:val="single" w:sz="4" w:space="0" w:color="auto"/>
              <w:right w:val="single" w:sz="4" w:space="0" w:color="auto"/>
            </w:tcBorders>
            <w:hideMark/>
          </w:tcPr>
          <w:p w14:paraId="3CC85186" w14:textId="77777777" w:rsidR="00CF2322" w:rsidRPr="00CF2322" w:rsidRDefault="00CF2322" w:rsidP="00CF2322">
            <w:pPr>
              <w:keepNext/>
              <w:outlineLvl w:val="1"/>
              <w:rPr>
                <w:sz w:val="22"/>
                <w:szCs w:val="22"/>
              </w:rPr>
            </w:pPr>
            <w:r w:rsidRPr="00CF2322">
              <w:rPr>
                <w:sz w:val="22"/>
                <w:szCs w:val="22"/>
              </w:rPr>
              <w:t>LUVA PVC 60MM</w:t>
            </w:r>
          </w:p>
        </w:tc>
        <w:tc>
          <w:tcPr>
            <w:tcW w:w="1304" w:type="dxa"/>
            <w:tcBorders>
              <w:top w:val="single" w:sz="4" w:space="0" w:color="auto"/>
              <w:left w:val="single" w:sz="4" w:space="0" w:color="auto"/>
              <w:bottom w:val="single" w:sz="4" w:space="0" w:color="auto"/>
              <w:right w:val="single" w:sz="4" w:space="0" w:color="auto"/>
            </w:tcBorders>
            <w:hideMark/>
          </w:tcPr>
          <w:p w14:paraId="6BEC6914"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67881794" w14:textId="77777777" w:rsidR="00CF2322" w:rsidRPr="00CF2322" w:rsidRDefault="00CF2322" w:rsidP="00CF2322">
            <w:pPr>
              <w:keepNext/>
              <w:outlineLvl w:val="1"/>
              <w:rPr>
                <w:sz w:val="22"/>
                <w:szCs w:val="22"/>
              </w:rPr>
            </w:pPr>
            <w:r w:rsidRPr="00CF2322">
              <w:rPr>
                <w:sz w:val="22"/>
                <w:szCs w:val="22"/>
              </w:rPr>
              <w:t>400</w:t>
            </w:r>
          </w:p>
        </w:tc>
        <w:tc>
          <w:tcPr>
            <w:tcW w:w="1071" w:type="dxa"/>
            <w:tcBorders>
              <w:top w:val="single" w:sz="4" w:space="0" w:color="auto"/>
              <w:left w:val="single" w:sz="4" w:space="0" w:color="auto"/>
              <w:bottom w:val="single" w:sz="4" w:space="0" w:color="auto"/>
              <w:right w:val="single" w:sz="4" w:space="0" w:color="auto"/>
            </w:tcBorders>
            <w:hideMark/>
          </w:tcPr>
          <w:p w14:paraId="6AFD7795"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18E181C6" w14:textId="77777777" w:rsidR="00CF2322" w:rsidRPr="00CF2322" w:rsidRDefault="00CF2322" w:rsidP="00CF2322">
            <w:pPr>
              <w:keepNext/>
              <w:jc w:val="right"/>
              <w:outlineLvl w:val="1"/>
              <w:rPr>
                <w:sz w:val="22"/>
                <w:szCs w:val="22"/>
              </w:rPr>
            </w:pPr>
            <w:r w:rsidRPr="00CF2322">
              <w:rPr>
                <w:sz w:val="22"/>
                <w:szCs w:val="22"/>
              </w:rPr>
              <w:t>11,00</w:t>
            </w:r>
          </w:p>
        </w:tc>
        <w:tc>
          <w:tcPr>
            <w:tcW w:w="850" w:type="dxa"/>
            <w:tcBorders>
              <w:top w:val="single" w:sz="4" w:space="0" w:color="auto"/>
              <w:left w:val="single" w:sz="4" w:space="0" w:color="auto"/>
              <w:bottom w:val="single" w:sz="4" w:space="0" w:color="auto"/>
              <w:right w:val="single" w:sz="4" w:space="0" w:color="auto"/>
            </w:tcBorders>
            <w:hideMark/>
          </w:tcPr>
          <w:p w14:paraId="1E3C391C" w14:textId="77777777" w:rsidR="00CF2322" w:rsidRPr="00CF2322" w:rsidRDefault="00CF2322" w:rsidP="00CF2322">
            <w:pPr>
              <w:keepNext/>
              <w:jc w:val="right"/>
              <w:outlineLvl w:val="1"/>
              <w:rPr>
                <w:sz w:val="22"/>
                <w:szCs w:val="22"/>
              </w:rPr>
            </w:pPr>
            <w:r w:rsidRPr="00CF2322">
              <w:rPr>
                <w:sz w:val="22"/>
                <w:szCs w:val="22"/>
              </w:rPr>
              <w:t>4.400,00</w:t>
            </w:r>
          </w:p>
        </w:tc>
      </w:tr>
      <w:tr w:rsidR="00CF2322" w:rsidRPr="00CF2322" w14:paraId="1A166E8B"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31368F58" w14:textId="77777777" w:rsidR="00CF2322" w:rsidRPr="00CF2322" w:rsidRDefault="00CF2322" w:rsidP="00CF2322">
            <w:pPr>
              <w:keepNext/>
              <w:outlineLvl w:val="1"/>
              <w:rPr>
                <w:sz w:val="22"/>
                <w:szCs w:val="22"/>
              </w:rPr>
            </w:pPr>
            <w:r w:rsidRPr="00CF2322">
              <w:rPr>
                <w:sz w:val="22"/>
                <w:szCs w:val="22"/>
              </w:rPr>
              <w:t>0085</w:t>
            </w:r>
          </w:p>
        </w:tc>
        <w:tc>
          <w:tcPr>
            <w:tcW w:w="3072" w:type="dxa"/>
            <w:tcBorders>
              <w:top w:val="single" w:sz="4" w:space="0" w:color="auto"/>
              <w:left w:val="single" w:sz="4" w:space="0" w:color="auto"/>
              <w:bottom w:val="single" w:sz="4" w:space="0" w:color="auto"/>
              <w:right w:val="single" w:sz="4" w:space="0" w:color="auto"/>
            </w:tcBorders>
            <w:hideMark/>
          </w:tcPr>
          <w:p w14:paraId="1525E0B6" w14:textId="77777777" w:rsidR="00CF2322" w:rsidRPr="00CF2322" w:rsidRDefault="00CF2322" w:rsidP="00CF2322">
            <w:pPr>
              <w:keepNext/>
              <w:outlineLvl w:val="1"/>
              <w:rPr>
                <w:sz w:val="22"/>
                <w:szCs w:val="22"/>
              </w:rPr>
            </w:pPr>
            <w:r w:rsidRPr="00CF2322">
              <w:rPr>
                <w:sz w:val="22"/>
                <w:szCs w:val="22"/>
              </w:rPr>
              <w:t>LUVA PVC SOLD.100MM</w:t>
            </w:r>
          </w:p>
        </w:tc>
        <w:tc>
          <w:tcPr>
            <w:tcW w:w="1304" w:type="dxa"/>
            <w:tcBorders>
              <w:top w:val="single" w:sz="4" w:space="0" w:color="auto"/>
              <w:left w:val="single" w:sz="4" w:space="0" w:color="auto"/>
              <w:bottom w:val="single" w:sz="4" w:space="0" w:color="auto"/>
              <w:right w:val="single" w:sz="4" w:space="0" w:color="auto"/>
            </w:tcBorders>
            <w:hideMark/>
          </w:tcPr>
          <w:p w14:paraId="692A735E"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1C98C168" w14:textId="77777777" w:rsidR="00CF2322" w:rsidRPr="00CF2322" w:rsidRDefault="00CF2322" w:rsidP="00CF2322">
            <w:pPr>
              <w:keepNext/>
              <w:outlineLvl w:val="1"/>
              <w:rPr>
                <w:sz w:val="22"/>
                <w:szCs w:val="22"/>
              </w:rPr>
            </w:pPr>
            <w:r w:rsidRPr="00CF2322">
              <w:rPr>
                <w:sz w:val="22"/>
                <w:szCs w:val="22"/>
              </w:rPr>
              <w:t>400</w:t>
            </w:r>
          </w:p>
        </w:tc>
        <w:tc>
          <w:tcPr>
            <w:tcW w:w="1071" w:type="dxa"/>
            <w:tcBorders>
              <w:top w:val="single" w:sz="4" w:space="0" w:color="auto"/>
              <w:left w:val="single" w:sz="4" w:space="0" w:color="auto"/>
              <w:bottom w:val="single" w:sz="4" w:space="0" w:color="auto"/>
              <w:right w:val="single" w:sz="4" w:space="0" w:color="auto"/>
            </w:tcBorders>
            <w:hideMark/>
          </w:tcPr>
          <w:p w14:paraId="2B40679B"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60D38152" w14:textId="77777777" w:rsidR="00CF2322" w:rsidRPr="00CF2322" w:rsidRDefault="00CF2322" w:rsidP="00CF2322">
            <w:pPr>
              <w:keepNext/>
              <w:jc w:val="right"/>
              <w:outlineLvl w:val="1"/>
              <w:rPr>
                <w:sz w:val="22"/>
                <w:szCs w:val="22"/>
              </w:rPr>
            </w:pPr>
            <w:r w:rsidRPr="00CF2322">
              <w:rPr>
                <w:sz w:val="22"/>
                <w:szCs w:val="22"/>
              </w:rPr>
              <w:t>7,00</w:t>
            </w:r>
          </w:p>
        </w:tc>
        <w:tc>
          <w:tcPr>
            <w:tcW w:w="850" w:type="dxa"/>
            <w:tcBorders>
              <w:top w:val="single" w:sz="4" w:space="0" w:color="auto"/>
              <w:left w:val="single" w:sz="4" w:space="0" w:color="auto"/>
              <w:bottom w:val="single" w:sz="4" w:space="0" w:color="auto"/>
              <w:right w:val="single" w:sz="4" w:space="0" w:color="auto"/>
            </w:tcBorders>
            <w:hideMark/>
          </w:tcPr>
          <w:p w14:paraId="2D1502BA" w14:textId="77777777" w:rsidR="00CF2322" w:rsidRPr="00CF2322" w:rsidRDefault="00CF2322" w:rsidP="00CF2322">
            <w:pPr>
              <w:keepNext/>
              <w:jc w:val="right"/>
              <w:outlineLvl w:val="1"/>
              <w:rPr>
                <w:sz w:val="22"/>
                <w:szCs w:val="22"/>
              </w:rPr>
            </w:pPr>
            <w:r w:rsidRPr="00CF2322">
              <w:rPr>
                <w:sz w:val="22"/>
                <w:szCs w:val="22"/>
              </w:rPr>
              <w:t>2.800,00</w:t>
            </w:r>
          </w:p>
        </w:tc>
      </w:tr>
      <w:tr w:rsidR="00CF2322" w:rsidRPr="00CF2322" w14:paraId="6E749899"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699B7D38" w14:textId="77777777" w:rsidR="00CF2322" w:rsidRPr="00CF2322" w:rsidRDefault="00CF2322" w:rsidP="00CF2322">
            <w:pPr>
              <w:keepNext/>
              <w:outlineLvl w:val="1"/>
              <w:rPr>
                <w:sz w:val="22"/>
                <w:szCs w:val="22"/>
              </w:rPr>
            </w:pPr>
            <w:r w:rsidRPr="00CF2322">
              <w:rPr>
                <w:sz w:val="22"/>
                <w:szCs w:val="22"/>
              </w:rPr>
              <w:t>0116</w:t>
            </w:r>
          </w:p>
        </w:tc>
        <w:tc>
          <w:tcPr>
            <w:tcW w:w="3072" w:type="dxa"/>
            <w:tcBorders>
              <w:top w:val="single" w:sz="4" w:space="0" w:color="auto"/>
              <w:left w:val="single" w:sz="4" w:space="0" w:color="auto"/>
              <w:bottom w:val="single" w:sz="4" w:space="0" w:color="auto"/>
              <w:right w:val="single" w:sz="4" w:space="0" w:color="auto"/>
            </w:tcBorders>
            <w:hideMark/>
          </w:tcPr>
          <w:p w14:paraId="0D1FCC6D" w14:textId="77777777" w:rsidR="00CF2322" w:rsidRPr="00CF2322" w:rsidRDefault="00CF2322" w:rsidP="00CF2322">
            <w:pPr>
              <w:keepNext/>
              <w:outlineLvl w:val="1"/>
              <w:rPr>
                <w:sz w:val="22"/>
                <w:szCs w:val="22"/>
              </w:rPr>
            </w:pPr>
            <w:r w:rsidRPr="00CF2322">
              <w:rPr>
                <w:sz w:val="22"/>
                <w:szCs w:val="22"/>
              </w:rPr>
              <w:t>RALO SINFONADO 100X100X50</w:t>
            </w:r>
          </w:p>
        </w:tc>
        <w:tc>
          <w:tcPr>
            <w:tcW w:w="1304" w:type="dxa"/>
            <w:tcBorders>
              <w:top w:val="single" w:sz="4" w:space="0" w:color="auto"/>
              <w:left w:val="single" w:sz="4" w:space="0" w:color="auto"/>
              <w:bottom w:val="single" w:sz="4" w:space="0" w:color="auto"/>
              <w:right w:val="single" w:sz="4" w:space="0" w:color="auto"/>
            </w:tcBorders>
            <w:hideMark/>
          </w:tcPr>
          <w:p w14:paraId="17F22779"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3FE11770"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394CEC4B"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5711D375" w14:textId="77777777" w:rsidR="00CF2322" w:rsidRPr="00CF2322" w:rsidRDefault="00CF2322" w:rsidP="00CF2322">
            <w:pPr>
              <w:keepNext/>
              <w:jc w:val="right"/>
              <w:outlineLvl w:val="1"/>
              <w:rPr>
                <w:sz w:val="22"/>
                <w:szCs w:val="22"/>
              </w:rPr>
            </w:pPr>
            <w:r w:rsidRPr="00CF2322">
              <w:rPr>
                <w:sz w:val="22"/>
                <w:szCs w:val="22"/>
              </w:rPr>
              <w:t>10,00</w:t>
            </w:r>
          </w:p>
        </w:tc>
        <w:tc>
          <w:tcPr>
            <w:tcW w:w="850" w:type="dxa"/>
            <w:tcBorders>
              <w:top w:val="single" w:sz="4" w:space="0" w:color="auto"/>
              <w:left w:val="single" w:sz="4" w:space="0" w:color="auto"/>
              <w:bottom w:val="single" w:sz="4" w:space="0" w:color="auto"/>
              <w:right w:val="single" w:sz="4" w:space="0" w:color="auto"/>
            </w:tcBorders>
            <w:hideMark/>
          </w:tcPr>
          <w:p w14:paraId="61EA2404" w14:textId="77777777" w:rsidR="00CF2322" w:rsidRPr="00CF2322" w:rsidRDefault="00CF2322" w:rsidP="00CF2322">
            <w:pPr>
              <w:keepNext/>
              <w:jc w:val="right"/>
              <w:outlineLvl w:val="1"/>
              <w:rPr>
                <w:sz w:val="22"/>
                <w:szCs w:val="22"/>
              </w:rPr>
            </w:pPr>
            <w:r w:rsidRPr="00CF2322">
              <w:rPr>
                <w:sz w:val="22"/>
                <w:szCs w:val="22"/>
              </w:rPr>
              <w:t>10.000,00</w:t>
            </w:r>
          </w:p>
        </w:tc>
      </w:tr>
      <w:tr w:rsidR="00CF2322" w:rsidRPr="00CF2322" w14:paraId="06B85523"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0A0F1C0C" w14:textId="77777777" w:rsidR="00CF2322" w:rsidRPr="00CF2322" w:rsidRDefault="00CF2322" w:rsidP="00CF2322">
            <w:pPr>
              <w:keepNext/>
              <w:outlineLvl w:val="1"/>
              <w:rPr>
                <w:sz w:val="22"/>
                <w:szCs w:val="22"/>
              </w:rPr>
            </w:pPr>
            <w:r w:rsidRPr="00CF2322">
              <w:rPr>
                <w:sz w:val="22"/>
                <w:szCs w:val="22"/>
              </w:rPr>
              <w:t>0129</w:t>
            </w:r>
          </w:p>
        </w:tc>
        <w:tc>
          <w:tcPr>
            <w:tcW w:w="3072" w:type="dxa"/>
            <w:tcBorders>
              <w:top w:val="single" w:sz="4" w:space="0" w:color="auto"/>
              <w:left w:val="single" w:sz="4" w:space="0" w:color="auto"/>
              <w:bottom w:val="single" w:sz="4" w:space="0" w:color="auto"/>
              <w:right w:val="single" w:sz="4" w:space="0" w:color="auto"/>
            </w:tcBorders>
            <w:hideMark/>
          </w:tcPr>
          <w:p w14:paraId="00B3B295" w14:textId="77777777" w:rsidR="00CF2322" w:rsidRPr="00CF2322" w:rsidRDefault="00CF2322" w:rsidP="00CF2322">
            <w:pPr>
              <w:keepNext/>
              <w:outlineLvl w:val="1"/>
              <w:rPr>
                <w:sz w:val="22"/>
                <w:szCs w:val="22"/>
              </w:rPr>
            </w:pPr>
            <w:r w:rsidRPr="00CF2322">
              <w:rPr>
                <w:sz w:val="22"/>
                <w:szCs w:val="22"/>
              </w:rPr>
              <w:t>TE 150 MM COM REDUÇÃO PARA 100 MM</w:t>
            </w:r>
          </w:p>
        </w:tc>
        <w:tc>
          <w:tcPr>
            <w:tcW w:w="1304" w:type="dxa"/>
            <w:tcBorders>
              <w:top w:val="single" w:sz="4" w:space="0" w:color="auto"/>
              <w:left w:val="single" w:sz="4" w:space="0" w:color="auto"/>
              <w:bottom w:val="single" w:sz="4" w:space="0" w:color="auto"/>
              <w:right w:val="single" w:sz="4" w:space="0" w:color="auto"/>
            </w:tcBorders>
            <w:hideMark/>
          </w:tcPr>
          <w:p w14:paraId="08D6B6C7"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302EB00F" w14:textId="77777777" w:rsidR="00CF2322" w:rsidRPr="00CF2322" w:rsidRDefault="00CF2322" w:rsidP="00CF2322">
            <w:pPr>
              <w:keepNext/>
              <w:outlineLvl w:val="1"/>
              <w:rPr>
                <w:sz w:val="22"/>
                <w:szCs w:val="22"/>
              </w:rPr>
            </w:pPr>
            <w:r w:rsidRPr="00CF2322">
              <w:rPr>
                <w:sz w:val="22"/>
                <w:szCs w:val="22"/>
              </w:rPr>
              <w:t>400</w:t>
            </w:r>
          </w:p>
        </w:tc>
        <w:tc>
          <w:tcPr>
            <w:tcW w:w="1071" w:type="dxa"/>
            <w:tcBorders>
              <w:top w:val="single" w:sz="4" w:space="0" w:color="auto"/>
              <w:left w:val="single" w:sz="4" w:space="0" w:color="auto"/>
              <w:bottom w:val="single" w:sz="4" w:space="0" w:color="auto"/>
              <w:right w:val="single" w:sz="4" w:space="0" w:color="auto"/>
            </w:tcBorders>
            <w:hideMark/>
          </w:tcPr>
          <w:p w14:paraId="0A250489"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492BA5C4" w14:textId="77777777" w:rsidR="00CF2322" w:rsidRPr="00CF2322" w:rsidRDefault="00CF2322" w:rsidP="00CF2322">
            <w:pPr>
              <w:keepNext/>
              <w:jc w:val="right"/>
              <w:outlineLvl w:val="1"/>
              <w:rPr>
                <w:sz w:val="22"/>
                <w:szCs w:val="22"/>
              </w:rPr>
            </w:pPr>
            <w:r w:rsidRPr="00CF2322">
              <w:rPr>
                <w:sz w:val="22"/>
                <w:szCs w:val="22"/>
              </w:rPr>
              <w:t>43,00</w:t>
            </w:r>
          </w:p>
        </w:tc>
        <w:tc>
          <w:tcPr>
            <w:tcW w:w="850" w:type="dxa"/>
            <w:tcBorders>
              <w:top w:val="single" w:sz="4" w:space="0" w:color="auto"/>
              <w:left w:val="single" w:sz="4" w:space="0" w:color="auto"/>
              <w:bottom w:val="single" w:sz="4" w:space="0" w:color="auto"/>
              <w:right w:val="single" w:sz="4" w:space="0" w:color="auto"/>
            </w:tcBorders>
            <w:hideMark/>
          </w:tcPr>
          <w:p w14:paraId="2A8335EB" w14:textId="77777777" w:rsidR="00CF2322" w:rsidRPr="00CF2322" w:rsidRDefault="00CF2322" w:rsidP="00CF2322">
            <w:pPr>
              <w:keepNext/>
              <w:jc w:val="right"/>
              <w:outlineLvl w:val="1"/>
              <w:rPr>
                <w:sz w:val="22"/>
                <w:szCs w:val="22"/>
              </w:rPr>
            </w:pPr>
            <w:r w:rsidRPr="00CF2322">
              <w:rPr>
                <w:sz w:val="22"/>
                <w:szCs w:val="22"/>
              </w:rPr>
              <w:t>17.200,00</w:t>
            </w:r>
          </w:p>
        </w:tc>
      </w:tr>
      <w:tr w:rsidR="00CF2322" w:rsidRPr="00CF2322" w14:paraId="02410A81"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68A6CE3E" w14:textId="77777777" w:rsidR="00CF2322" w:rsidRPr="00CF2322" w:rsidRDefault="00CF2322" w:rsidP="00CF2322">
            <w:pPr>
              <w:keepNext/>
              <w:outlineLvl w:val="1"/>
              <w:rPr>
                <w:sz w:val="22"/>
                <w:szCs w:val="22"/>
              </w:rPr>
            </w:pPr>
            <w:r w:rsidRPr="00CF2322">
              <w:rPr>
                <w:sz w:val="22"/>
                <w:szCs w:val="22"/>
              </w:rPr>
              <w:t>0130</w:t>
            </w:r>
          </w:p>
        </w:tc>
        <w:tc>
          <w:tcPr>
            <w:tcW w:w="3072" w:type="dxa"/>
            <w:tcBorders>
              <w:top w:val="single" w:sz="4" w:space="0" w:color="auto"/>
              <w:left w:val="single" w:sz="4" w:space="0" w:color="auto"/>
              <w:bottom w:val="single" w:sz="4" w:space="0" w:color="auto"/>
              <w:right w:val="single" w:sz="4" w:space="0" w:color="auto"/>
            </w:tcBorders>
            <w:hideMark/>
          </w:tcPr>
          <w:p w14:paraId="62431902" w14:textId="77777777" w:rsidR="00CF2322" w:rsidRPr="00CF2322" w:rsidRDefault="00CF2322" w:rsidP="00CF2322">
            <w:pPr>
              <w:keepNext/>
              <w:outlineLvl w:val="1"/>
              <w:rPr>
                <w:sz w:val="22"/>
                <w:szCs w:val="22"/>
              </w:rPr>
            </w:pPr>
            <w:r w:rsidRPr="00CF2322">
              <w:rPr>
                <w:sz w:val="22"/>
                <w:szCs w:val="22"/>
              </w:rPr>
              <w:t>TE DE PVC DE 1/2''- MARROM SOLDAVEL/ROSCAVEL</w:t>
            </w:r>
          </w:p>
        </w:tc>
        <w:tc>
          <w:tcPr>
            <w:tcW w:w="1304" w:type="dxa"/>
            <w:tcBorders>
              <w:top w:val="single" w:sz="4" w:space="0" w:color="auto"/>
              <w:left w:val="single" w:sz="4" w:space="0" w:color="auto"/>
              <w:bottom w:val="single" w:sz="4" w:space="0" w:color="auto"/>
              <w:right w:val="single" w:sz="4" w:space="0" w:color="auto"/>
            </w:tcBorders>
            <w:hideMark/>
          </w:tcPr>
          <w:p w14:paraId="43233E90"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3A23F62D" w14:textId="77777777" w:rsidR="00CF2322" w:rsidRPr="00CF2322" w:rsidRDefault="00CF2322" w:rsidP="00CF2322">
            <w:pPr>
              <w:keepNext/>
              <w:outlineLvl w:val="1"/>
              <w:rPr>
                <w:sz w:val="22"/>
                <w:szCs w:val="22"/>
              </w:rPr>
            </w:pPr>
            <w:r w:rsidRPr="00CF2322">
              <w:rPr>
                <w:sz w:val="22"/>
                <w:szCs w:val="22"/>
              </w:rPr>
              <w:t>1.500</w:t>
            </w:r>
          </w:p>
        </w:tc>
        <w:tc>
          <w:tcPr>
            <w:tcW w:w="1071" w:type="dxa"/>
            <w:tcBorders>
              <w:top w:val="single" w:sz="4" w:space="0" w:color="auto"/>
              <w:left w:val="single" w:sz="4" w:space="0" w:color="auto"/>
              <w:bottom w:val="single" w:sz="4" w:space="0" w:color="auto"/>
              <w:right w:val="single" w:sz="4" w:space="0" w:color="auto"/>
            </w:tcBorders>
            <w:hideMark/>
          </w:tcPr>
          <w:p w14:paraId="10A7EA5A"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14D6358C" w14:textId="77777777" w:rsidR="00CF2322" w:rsidRPr="00CF2322" w:rsidRDefault="00CF2322" w:rsidP="00CF2322">
            <w:pPr>
              <w:keepNext/>
              <w:jc w:val="right"/>
              <w:outlineLvl w:val="1"/>
              <w:rPr>
                <w:sz w:val="22"/>
                <w:szCs w:val="22"/>
              </w:rPr>
            </w:pPr>
            <w:r w:rsidRPr="00CF2322">
              <w:rPr>
                <w:sz w:val="22"/>
                <w:szCs w:val="22"/>
              </w:rPr>
              <w:t>1,80</w:t>
            </w:r>
          </w:p>
        </w:tc>
        <w:tc>
          <w:tcPr>
            <w:tcW w:w="850" w:type="dxa"/>
            <w:tcBorders>
              <w:top w:val="single" w:sz="4" w:space="0" w:color="auto"/>
              <w:left w:val="single" w:sz="4" w:space="0" w:color="auto"/>
              <w:bottom w:val="single" w:sz="4" w:space="0" w:color="auto"/>
              <w:right w:val="single" w:sz="4" w:space="0" w:color="auto"/>
            </w:tcBorders>
            <w:hideMark/>
          </w:tcPr>
          <w:p w14:paraId="78D0EDD5" w14:textId="77777777" w:rsidR="00CF2322" w:rsidRPr="00CF2322" w:rsidRDefault="00CF2322" w:rsidP="00CF2322">
            <w:pPr>
              <w:keepNext/>
              <w:jc w:val="right"/>
              <w:outlineLvl w:val="1"/>
              <w:rPr>
                <w:sz w:val="22"/>
                <w:szCs w:val="22"/>
              </w:rPr>
            </w:pPr>
            <w:r w:rsidRPr="00CF2322">
              <w:rPr>
                <w:sz w:val="22"/>
                <w:szCs w:val="22"/>
              </w:rPr>
              <w:t>2.700,00</w:t>
            </w:r>
          </w:p>
        </w:tc>
      </w:tr>
      <w:tr w:rsidR="00CF2322" w:rsidRPr="00CF2322" w14:paraId="4505DE49"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143CAFBD" w14:textId="77777777" w:rsidR="00CF2322" w:rsidRPr="00CF2322" w:rsidRDefault="00CF2322" w:rsidP="00CF2322">
            <w:pPr>
              <w:keepNext/>
              <w:outlineLvl w:val="1"/>
              <w:rPr>
                <w:sz w:val="22"/>
                <w:szCs w:val="22"/>
              </w:rPr>
            </w:pPr>
            <w:r w:rsidRPr="00CF2322">
              <w:rPr>
                <w:sz w:val="22"/>
                <w:szCs w:val="22"/>
              </w:rPr>
              <w:t>0131</w:t>
            </w:r>
          </w:p>
        </w:tc>
        <w:tc>
          <w:tcPr>
            <w:tcW w:w="3072" w:type="dxa"/>
            <w:tcBorders>
              <w:top w:val="single" w:sz="4" w:space="0" w:color="auto"/>
              <w:left w:val="single" w:sz="4" w:space="0" w:color="auto"/>
              <w:bottom w:val="single" w:sz="4" w:space="0" w:color="auto"/>
              <w:right w:val="single" w:sz="4" w:space="0" w:color="auto"/>
            </w:tcBorders>
            <w:hideMark/>
          </w:tcPr>
          <w:p w14:paraId="772E93F7" w14:textId="77777777" w:rsidR="00CF2322" w:rsidRPr="00CF2322" w:rsidRDefault="00CF2322" w:rsidP="00CF2322">
            <w:pPr>
              <w:keepNext/>
              <w:outlineLvl w:val="1"/>
              <w:rPr>
                <w:sz w:val="22"/>
                <w:szCs w:val="22"/>
              </w:rPr>
            </w:pPr>
            <w:r w:rsidRPr="00CF2322">
              <w:rPr>
                <w:sz w:val="22"/>
                <w:szCs w:val="22"/>
              </w:rPr>
              <w:t>TE DE PVC MARROM 40MM</w:t>
            </w:r>
          </w:p>
        </w:tc>
        <w:tc>
          <w:tcPr>
            <w:tcW w:w="1304" w:type="dxa"/>
            <w:tcBorders>
              <w:top w:val="single" w:sz="4" w:space="0" w:color="auto"/>
              <w:left w:val="single" w:sz="4" w:space="0" w:color="auto"/>
              <w:bottom w:val="single" w:sz="4" w:space="0" w:color="auto"/>
              <w:right w:val="single" w:sz="4" w:space="0" w:color="auto"/>
            </w:tcBorders>
            <w:hideMark/>
          </w:tcPr>
          <w:p w14:paraId="50EF6550"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0B0E8E33" w14:textId="77777777" w:rsidR="00CF2322" w:rsidRPr="00CF2322" w:rsidRDefault="00CF2322" w:rsidP="00CF2322">
            <w:pPr>
              <w:keepNext/>
              <w:outlineLvl w:val="1"/>
              <w:rPr>
                <w:sz w:val="22"/>
                <w:szCs w:val="22"/>
              </w:rPr>
            </w:pPr>
            <w:r w:rsidRPr="00CF2322">
              <w:rPr>
                <w:sz w:val="22"/>
                <w:szCs w:val="22"/>
              </w:rPr>
              <w:t>800</w:t>
            </w:r>
          </w:p>
        </w:tc>
        <w:tc>
          <w:tcPr>
            <w:tcW w:w="1071" w:type="dxa"/>
            <w:tcBorders>
              <w:top w:val="single" w:sz="4" w:space="0" w:color="auto"/>
              <w:left w:val="single" w:sz="4" w:space="0" w:color="auto"/>
              <w:bottom w:val="single" w:sz="4" w:space="0" w:color="auto"/>
              <w:right w:val="single" w:sz="4" w:space="0" w:color="auto"/>
            </w:tcBorders>
            <w:hideMark/>
          </w:tcPr>
          <w:p w14:paraId="4871EFBA"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56068B0F" w14:textId="77777777" w:rsidR="00CF2322" w:rsidRPr="00CF2322" w:rsidRDefault="00CF2322" w:rsidP="00CF2322">
            <w:pPr>
              <w:keepNext/>
              <w:jc w:val="right"/>
              <w:outlineLvl w:val="1"/>
              <w:rPr>
                <w:sz w:val="22"/>
                <w:szCs w:val="22"/>
              </w:rPr>
            </w:pPr>
            <w:r w:rsidRPr="00CF2322">
              <w:rPr>
                <w:sz w:val="22"/>
                <w:szCs w:val="22"/>
              </w:rPr>
              <w:t>8,95</w:t>
            </w:r>
          </w:p>
        </w:tc>
        <w:tc>
          <w:tcPr>
            <w:tcW w:w="850" w:type="dxa"/>
            <w:tcBorders>
              <w:top w:val="single" w:sz="4" w:space="0" w:color="auto"/>
              <w:left w:val="single" w:sz="4" w:space="0" w:color="auto"/>
              <w:bottom w:val="single" w:sz="4" w:space="0" w:color="auto"/>
              <w:right w:val="single" w:sz="4" w:space="0" w:color="auto"/>
            </w:tcBorders>
            <w:hideMark/>
          </w:tcPr>
          <w:p w14:paraId="5411AC25" w14:textId="77777777" w:rsidR="00CF2322" w:rsidRPr="00CF2322" w:rsidRDefault="00CF2322" w:rsidP="00CF2322">
            <w:pPr>
              <w:keepNext/>
              <w:jc w:val="right"/>
              <w:outlineLvl w:val="1"/>
              <w:rPr>
                <w:sz w:val="22"/>
                <w:szCs w:val="22"/>
              </w:rPr>
            </w:pPr>
            <w:r w:rsidRPr="00CF2322">
              <w:rPr>
                <w:sz w:val="22"/>
                <w:szCs w:val="22"/>
              </w:rPr>
              <w:t>7.160,00</w:t>
            </w:r>
          </w:p>
        </w:tc>
      </w:tr>
      <w:tr w:rsidR="00CF2322" w:rsidRPr="00CF2322" w14:paraId="08564ACC"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0D2D5E01" w14:textId="77777777" w:rsidR="00CF2322" w:rsidRPr="00CF2322" w:rsidRDefault="00CF2322" w:rsidP="00CF2322">
            <w:pPr>
              <w:keepNext/>
              <w:outlineLvl w:val="1"/>
              <w:rPr>
                <w:sz w:val="22"/>
                <w:szCs w:val="22"/>
              </w:rPr>
            </w:pPr>
            <w:r w:rsidRPr="00CF2322">
              <w:rPr>
                <w:sz w:val="22"/>
                <w:szCs w:val="22"/>
              </w:rPr>
              <w:t>0133</w:t>
            </w:r>
          </w:p>
        </w:tc>
        <w:tc>
          <w:tcPr>
            <w:tcW w:w="3072" w:type="dxa"/>
            <w:tcBorders>
              <w:top w:val="single" w:sz="4" w:space="0" w:color="auto"/>
              <w:left w:val="single" w:sz="4" w:space="0" w:color="auto"/>
              <w:bottom w:val="single" w:sz="4" w:space="0" w:color="auto"/>
              <w:right w:val="single" w:sz="4" w:space="0" w:color="auto"/>
            </w:tcBorders>
            <w:hideMark/>
          </w:tcPr>
          <w:p w14:paraId="207C0AC8" w14:textId="77777777" w:rsidR="00CF2322" w:rsidRPr="00CF2322" w:rsidRDefault="00CF2322" w:rsidP="00CF2322">
            <w:pPr>
              <w:keepNext/>
              <w:outlineLvl w:val="1"/>
              <w:rPr>
                <w:sz w:val="22"/>
                <w:szCs w:val="22"/>
              </w:rPr>
            </w:pPr>
            <w:r w:rsidRPr="00CF2322">
              <w:rPr>
                <w:sz w:val="22"/>
                <w:szCs w:val="22"/>
              </w:rPr>
              <w:t>TE PVC DE 40MM</w:t>
            </w:r>
          </w:p>
        </w:tc>
        <w:tc>
          <w:tcPr>
            <w:tcW w:w="1304" w:type="dxa"/>
            <w:tcBorders>
              <w:top w:val="single" w:sz="4" w:space="0" w:color="auto"/>
              <w:left w:val="single" w:sz="4" w:space="0" w:color="auto"/>
              <w:bottom w:val="single" w:sz="4" w:space="0" w:color="auto"/>
              <w:right w:val="single" w:sz="4" w:space="0" w:color="auto"/>
            </w:tcBorders>
            <w:hideMark/>
          </w:tcPr>
          <w:p w14:paraId="51B659E5"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5BA38BB8" w14:textId="77777777" w:rsidR="00CF2322" w:rsidRPr="00CF2322" w:rsidRDefault="00CF2322" w:rsidP="00CF2322">
            <w:pPr>
              <w:keepNext/>
              <w:outlineLvl w:val="1"/>
              <w:rPr>
                <w:sz w:val="22"/>
                <w:szCs w:val="22"/>
              </w:rPr>
            </w:pPr>
            <w:r w:rsidRPr="00CF2322">
              <w:rPr>
                <w:sz w:val="22"/>
                <w:szCs w:val="22"/>
              </w:rPr>
              <w:t>400</w:t>
            </w:r>
          </w:p>
        </w:tc>
        <w:tc>
          <w:tcPr>
            <w:tcW w:w="1071" w:type="dxa"/>
            <w:tcBorders>
              <w:top w:val="single" w:sz="4" w:space="0" w:color="auto"/>
              <w:left w:val="single" w:sz="4" w:space="0" w:color="auto"/>
              <w:bottom w:val="single" w:sz="4" w:space="0" w:color="auto"/>
              <w:right w:val="single" w:sz="4" w:space="0" w:color="auto"/>
            </w:tcBorders>
            <w:hideMark/>
          </w:tcPr>
          <w:p w14:paraId="2C33F068"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5F9A8219" w14:textId="77777777" w:rsidR="00CF2322" w:rsidRPr="00CF2322" w:rsidRDefault="00CF2322" w:rsidP="00CF2322">
            <w:pPr>
              <w:keepNext/>
              <w:jc w:val="right"/>
              <w:outlineLvl w:val="1"/>
              <w:rPr>
                <w:sz w:val="22"/>
                <w:szCs w:val="22"/>
              </w:rPr>
            </w:pPr>
            <w:r w:rsidRPr="00CF2322">
              <w:rPr>
                <w:sz w:val="22"/>
                <w:szCs w:val="22"/>
              </w:rPr>
              <w:t>2,35</w:t>
            </w:r>
          </w:p>
        </w:tc>
        <w:tc>
          <w:tcPr>
            <w:tcW w:w="850" w:type="dxa"/>
            <w:tcBorders>
              <w:top w:val="single" w:sz="4" w:space="0" w:color="auto"/>
              <w:left w:val="single" w:sz="4" w:space="0" w:color="auto"/>
              <w:bottom w:val="single" w:sz="4" w:space="0" w:color="auto"/>
              <w:right w:val="single" w:sz="4" w:space="0" w:color="auto"/>
            </w:tcBorders>
            <w:hideMark/>
          </w:tcPr>
          <w:p w14:paraId="457DDB63" w14:textId="77777777" w:rsidR="00CF2322" w:rsidRPr="00CF2322" w:rsidRDefault="00CF2322" w:rsidP="00CF2322">
            <w:pPr>
              <w:keepNext/>
              <w:jc w:val="right"/>
              <w:outlineLvl w:val="1"/>
              <w:rPr>
                <w:sz w:val="22"/>
                <w:szCs w:val="22"/>
              </w:rPr>
            </w:pPr>
            <w:r w:rsidRPr="00CF2322">
              <w:rPr>
                <w:sz w:val="22"/>
                <w:szCs w:val="22"/>
              </w:rPr>
              <w:t>940,00</w:t>
            </w:r>
          </w:p>
        </w:tc>
      </w:tr>
      <w:tr w:rsidR="00CF2322" w:rsidRPr="00CF2322" w14:paraId="3B59F68A"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718021D0" w14:textId="77777777" w:rsidR="00CF2322" w:rsidRPr="00CF2322" w:rsidRDefault="00CF2322" w:rsidP="00CF2322">
            <w:pPr>
              <w:keepNext/>
              <w:outlineLvl w:val="1"/>
              <w:rPr>
                <w:sz w:val="22"/>
                <w:szCs w:val="22"/>
              </w:rPr>
            </w:pPr>
            <w:r w:rsidRPr="00CF2322">
              <w:rPr>
                <w:sz w:val="22"/>
                <w:szCs w:val="22"/>
              </w:rPr>
              <w:t>0134</w:t>
            </w:r>
          </w:p>
        </w:tc>
        <w:tc>
          <w:tcPr>
            <w:tcW w:w="3072" w:type="dxa"/>
            <w:tcBorders>
              <w:top w:val="single" w:sz="4" w:space="0" w:color="auto"/>
              <w:left w:val="single" w:sz="4" w:space="0" w:color="auto"/>
              <w:bottom w:val="single" w:sz="4" w:space="0" w:color="auto"/>
              <w:right w:val="single" w:sz="4" w:space="0" w:color="auto"/>
            </w:tcBorders>
            <w:hideMark/>
          </w:tcPr>
          <w:p w14:paraId="5B9E211F" w14:textId="77777777" w:rsidR="00CF2322" w:rsidRPr="00CF2322" w:rsidRDefault="00CF2322" w:rsidP="00CF2322">
            <w:pPr>
              <w:keepNext/>
              <w:outlineLvl w:val="1"/>
              <w:rPr>
                <w:sz w:val="22"/>
                <w:szCs w:val="22"/>
              </w:rPr>
            </w:pPr>
            <w:r w:rsidRPr="00CF2322">
              <w:rPr>
                <w:sz w:val="22"/>
                <w:szCs w:val="22"/>
              </w:rPr>
              <w:t>TE PVC ESGOTO 100MMX75MM</w:t>
            </w:r>
          </w:p>
        </w:tc>
        <w:tc>
          <w:tcPr>
            <w:tcW w:w="1304" w:type="dxa"/>
            <w:tcBorders>
              <w:top w:val="single" w:sz="4" w:space="0" w:color="auto"/>
              <w:left w:val="single" w:sz="4" w:space="0" w:color="auto"/>
              <w:bottom w:val="single" w:sz="4" w:space="0" w:color="auto"/>
              <w:right w:val="single" w:sz="4" w:space="0" w:color="auto"/>
            </w:tcBorders>
            <w:hideMark/>
          </w:tcPr>
          <w:p w14:paraId="5C698624" w14:textId="77777777" w:rsidR="00CF2322" w:rsidRPr="00CF2322" w:rsidRDefault="00CF2322" w:rsidP="00CF2322">
            <w:pPr>
              <w:keepNext/>
              <w:outlineLvl w:val="1"/>
              <w:rPr>
                <w:sz w:val="22"/>
                <w:szCs w:val="22"/>
              </w:rPr>
            </w:pPr>
            <w:r w:rsidRPr="00CF2322">
              <w:rPr>
                <w:sz w:val="22"/>
                <w:szCs w:val="22"/>
              </w:rPr>
              <w:t>UNOCANN</w:t>
            </w:r>
          </w:p>
        </w:tc>
        <w:tc>
          <w:tcPr>
            <w:tcW w:w="1415" w:type="dxa"/>
            <w:tcBorders>
              <w:top w:val="single" w:sz="4" w:space="0" w:color="auto"/>
              <w:left w:val="single" w:sz="4" w:space="0" w:color="auto"/>
              <w:bottom w:val="single" w:sz="4" w:space="0" w:color="auto"/>
              <w:right w:val="single" w:sz="4" w:space="0" w:color="auto"/>
            </w:tcBorders>
            <w:hideMark/>
          </w:tcPr>
          <w:p w14:paraId="574BF1C9" w14:textId="77777777" w:rsidR="00CF2322" w:rsidRPr="00CF2322" w:rsidRDefault="00CF2322" w:rsidP="00CF2322">
            <w:pPr>
              <w:keepNext/>
              <w:outlineLvl w:val="1"/>
              <w:rPr>
                <w:sz w:val="22"/>
                <w:szCs w:val="22"/>
              </w:rPr>
            </w:pPr>
            <w:r w:rsidRPr="00CF2322">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17879CA4"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4890F347" w14:textId="77777777" w:rsidR="00CF2322" w:rsidRPr="00CF2322" w:rsidRDefault="00CF2322" w:rsidP="00CF2322">
            <w:pPr>
              <w:keepNext/>
              <w:jc w:val="right"/>
              <w:outlineLvl w:val="1"/>
              <w:rPr>
                <w:sz w:val="22"/>
                <w:szCs w:val="22"/>
              </w:rPr>
            </w:pPr>
            <w:r w:rsidRPr="00CF2322">
              <w:rPr>
                <w:sz w:val="22"/>
                <w:szCs w:val="22"/>
              </w:rPr>
              <w:t>14,00</w:t>
            </w:r>
          </w:p>
        </w:tc>
        <w:tc>
          <w:tcPr>
            <w:tcW w:w="850" w:type="dxa"/>
            <w:tcBorders>
              <w:top w:val="single" w:sz="4" w:space="0" w:color="auto"/>
              <w:left w:val="single" w:sz="4" w:space="0" w:color="auto"/>
              <w:bottom w:val="single" w:sz="4" w:space="0" w:color="auto"/>
              <w:right w:val="single" w:sz="4" w:space="0" w:color="auto"/>
            </w:tcBorders>
            <w:hideMark/>
          </w:tcPr>
          <w:p w14:paraId="7BD1D15E" w14:textId="77777777" w:rsidR="00CF2322" w:rsidRPr="00CF2322" w:rsidRDefault="00CF2322" w:rsidP="00CF2322">
            <w:pPr>
              <w:keepNext/>
              <w:jc w:val="right"/>
              <w:outlineLvl w:val="1"/>
              <w:rPr>
                <w:sz w:val="22"/>
                <w:szCs w:val="22"/>
              </w:rPr>
            </w:pPr>
            <w:r w:rsidRPr="00CF2322">
              <w:rPr>
                <w:sz w:val="22"/>
                <w:szCs w:val="22"/>
              </w:rPr>
              <w:t>7.000,00</w:t>
            </w:r>
          </w:p>
        </w:tc>
      </w:tr>
      <w:tr w:rsidR="00CF2322" w:rsidRPr="00CF2322" w14:paraId="055827F8"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0553DB7C" w14:textId="77777777" w:rsidR="00CF2322" w:rsidRPr="00CF2322" w:rsidRDefault="00CF2322" w:rsidP="00CF2322">
            <w:pPr>
              <w:keepNext/>
              <w:outlineLvl w:val="1"/>
              <w:rPr>
                <w:sz w:val="22"/>
                <w:szCs w:val="22"/>
              </w:rPr>
            </w:pPr>
            <w:r w:rsidRPr="00CF2322">
              <w:rPr>
                <w:sz w:val="22"/>
                <w:szCs w:val="22"/>
              </w:rPr>
              <w:t>0155</w:t>
            </w:r>
          </w:p>
        </w:tc>
        <w:tc>
          <w:tcPr>
            <w:tcW w:w="3072" w:type="dxa"/>
            <w:tcBorders>
              <w:top w:val="single" w:sz="4" w:space="0" w:color="auto"/>
              <w:left w:val="single" w:sz="4" w:space="0" w:color="auto"/>
              <w:bottom w:val="single" w:sz="4" w:space="0" w:color="auto"/>
              <w:right w:val="single" w:sz="4" w:space="0" w:color="auto"/>
            </w:tcBorders>
            <w:hideMark/>
          </w:tcPr>
          <w:p w14:paraId="7D17E53B" w14:textId="77777777" w:rsidR="00CF2322" w:rsidRPr="00CF2322" w:rsidRDefault="00CF2322" w:rsidP="00CF2322">
            <w:pPr>
              <w:keepNext/>
              <w:outlineLvl w:val="1"/>
              <w:rPr>
                <w:sz w:val="22"/>
                <w:szCs w:val="22"/>
              </w:rPr>
            </w:pPr>
            <w:r w:rsidRPr="00CF2322">
              <w:rPr>
                <w:sz w:val="22"/>
                <w:szCs w:val="22"/>
              </w:rPr>
              <w:t>TUBO DE ESGOTO 200MM- 6 MT</w:t>
            </w:r>
          </w:p>
        </w:tc>
        <w:tc>
          <w:tcPr>
            <w:tcW w:w="1304" w:type="dxa"/>
            <w:tcBorders>
              <w:top w:val="single" w:sz="4" w:space="0" w:color="auto"/>
              <w:left w:val="single" w:sz="4" w:space="0" w:color="auto"/>
              <w:bottom w:val="single" w:sz="4" w:space="0" w:color="auto"/>
              <w:right w:val="single" w:sz="4" w:space="0" w:color="auto"/>
            </w:tcBorders>
            <w:hideMark/>
          </w:tcPr>
          <w:p w14:paraId="18C209B0"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66FA6526" w14:textId="77777777" w:rsidR="00CF2322" w:rsidRPr="00CF2322" w:rsidRDefault="00CF2322" w:rsidP="00CF2322">
            <w:pPr>
              <w:keepNext/>
              <w:outlineLvl w:val="1"/>
              <w:rPr>
                <w:sz w:val="22"/>
                <w:szCs w:val="22"/>
              </w:rPr>
            </w:pPr>
            <w:r w:rsidRPr="00CF2322">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2F075632"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47828B83" w14:textId="77777777" w:rsidR="00CF2322" w:rsidRPr="00CF2322" w:rsidRDefault="00CF2322" w:rsidP="00CF2322">
            <w:pPr>
              <w:keepNext/>
              <w:jc w:val="right"/>
              <w:outlineLvl w:val="1"/>
              <w:rPr>
                <w:sz w:val="22"/>
                <w:szCs w:val="22"/>
              </w:rPr>
            </w:pPr>
            <w:r w:rsidRPr="00CF2322">
              <w:rPr>
                <w:sz w:val="22"/>
                <w:szCs w:val="22"/>
              </w:rPr>
              <w:t>430,00</w:t>
            </w:r>
          </w:p>
        </w:tc>
        <w:tc>
          <w:tcPr>
            <w:tcW w:w="850" w:type="dxa"/>
            <w:tcBorders>
              <w:top w:val="single" w:sz="4" w:space="0" w:color="auto"/>
              <w:left w:val="single" w:sz="4" w:space="0" w:color="auto"/>
              <w:bottom w:val="single" w:sz="4" w:space="0" w:color="auto"/>
              <w:right w:val="single" w:sz="4" w:space="0" w:color="auto"/>
            </w:tcBorders>
            <w:hideMark/>
          </w:tcPr>
          <w:p w14:paraId="762F0823" w14:textId="77777777" w:rsidR="00CF2322" w:rsidRPr="00CF2322" w:rsidRDefault="00CF2322" w:rsidP="00CF2322">
            <w:pPr>
              <w:keepNext/>
              <w:jc w:val="right"/>
              <w:outlineLvl w:val="1"/>
              <w:rPr>
                <w:sz w:val="22"/>
                <w:szCs w:val="22"/>
              </w:rPr>
            </w:pPr>
            <w:r w:rsidRPr="00CF2322">
              <w:rPr>
                <w:sz w:val="22"/>
                <w:szCs w:val="22"/>
              </w:rPr>
              <w:t>215.000,00</w:t>
            </w:r>
          </w:p>
        </w:tc>
      </w:tr>
      <w:tr w:rsidR="00CF2322" w:rsidRPr="00CF2322" w14:paraId="4828C44F"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2202154F" w14:textId="77777777" w:rsidR="00CF2322" w:rsidRPr="00CF2322" w:rsidRDefault="00CF2322" w:rsidP="00CF2322">
            <w:pPr>
              <w:keepNext/>
              <w:outlineLvl w:val="1"/>
              <w:rPr>
                <w:sz w:val="22"/>
                <w:szCs w:val="22"/>
              </w:rPr>
            </w:pPr>
            <w:r w:rsidRPr="00CF2322">
              <w:rPr>
                <w:sz w:val="22"/>
                <w:szCs w:val="22"/>
              </w:rPr>
              <w:t>0158</w:t>
            </w:r>
          </w:p>
        </w:tc>
        <w:tc>
          <w:tcPr>
            <w:tcW w:w="3072" w:type="dxa"/>
            <w:tcBorders>
              <w:top w:val="single" w:sz="4" w:space="0" w:color="auto"/>
              <w:left w:val="single" w:sz="4" w:space="0" w:color="auto"/>
              <w:bottom w:val="single" w:sz="4" w:space="0" w:color="auto"/>
              <w:right w:val="single" w:sz="4" w:space="0" w:color="auto"/>
            </w:tcBorders>
            <w:hideMark/>
          </w:tcPr>
          <w:p w14:paraId="44F844BA" w14:textId="77777777" w:rsidR="00CF2322" w:rsidRPr="00CF2322" w:rsidRDefault="00CF2322" w:rsidP="00CF2322">
            <w:pPr>
              <w:keepNext/>
              <w:outlineLvl w:val="1"/>
              <w:rPr>
                <w:sz w:val="22"/>
                <w:szCs w:val="22"/>
              </w:rPr>
            </w:pPr>
            <w:r w:rsidRPr="00CF2322">
              <w:rPr>
                <w:sz w:val="22"/>
                <w:szCs w:val="22"/>
              </w:rPr>
              <w:t>TUBO DE PVC PREDIAL 50MM- NBR- 6MT MARROM</w:t>
            </w:r>
          </w:p>
        </w:tc>
        <w:tc>
          <w:tcPr>
            <w:tcW w:w="1304" w:type="dxa"/>
            <w:tcBorders>
              <w:top w:val="single" w:sz="4" w:space="0" w:color="auto"/>
              <w:left w:val="single" w:sz="4" w:space="0" w:color="auto"/>
              <w:bottom w:val="single" w:sz="4" w:space="0" w:color="auto"/>
              <w:right w:val="single" w:sz="4" w:space="0" w:color="auto"/>
            </w:tcBorders>
            <w:hideMark/>
          </w:tcPr>
          <w:p w14:paraId="037162EC"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2FECB8EC"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277F10A0"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50AD8A43" w14:textId="77777777" w:rsidR="00CF2322" w:rsidRPr="00CF2322" w:rsidRDefault="00CF2322" w:rsidP="00CF2322">
            <w:pPr>
              <w:keepNext/>
              <w:jc w:val="right"/>
              <w:outlineLvl w:val="1"/>
              <w:rPr>
                <w:sz w:val="22"/>
                <w:szCs w:val="22"/>
              </w:rPr>
            </w:pPr>
            <w:r w:rsidRPr="00CF2322">
              <w:rPr>
                <w:sz w:val="22"/>
                <w:szCs w:val="22"/>
              </w:rPr>
              <w:t>95,60</w:t>
            </w:r>
          </w:p>
        </w:tc>
        <w:tc>
          <w:tcPr>
            <w:tcW w:w="850" w:type="dxa"/>
            <w:tcBorders>
              <w:top w:val="single" w:sz="4" w:space="0" w:color="auto"/>
              <w:left w:val="single" w:sz="4" w:space="0" w:color="auto"/>
              <w:bottom w:val="single" w:sz="4" w:space="0" w:color="auto"/>
              <w:right w:val="single" w:sz="4" w:space="0" w:color="auto"/>
            </w:tcBorders>
            <w:hideMark/>
          </w:tcPr>
          <w:p w14:paraId="2C9E18C3" w14:textId="77777777" w:rsidR="00CF2322" w:rsidRPr="00CF2322" w:rsidRDefault="00CF2322" w:rsidP="00CF2322">
            <w:pPr>
              <w:keepNext/>
              <w:jc w:val="right"/>
              <w:outlineLvl w:val="1"/>
              <w:rPr>
                <w:sz w:val="22"/>
                <w:szCs w:val="22"/>
              </w:rPr>
            </w:pPr>
            <w:r w:rsidRPr="00CF2322">
              <w:rPr>
                <w:sz w:val="22"/>
                <w:szCs w:val="22"/>
              </w:rPr>
              <w:t>95.600,00</w:t>
            </w:r>
          </w:p>
        </w:tc>
      </w:tr>
      <w:tr w:rsidR="00CF2322" w:rsidRPr="00CF2322" w14:paraId="2C5ABF1D"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5EFFF1E0" w14:textId="77777777" w:rsidR="00CF2322" w:rsidRPr="00CF2322" w:rsidRDefault="00CF2322" w:rsidP="00CF2322">
            <w:pPr>
              <w:keepNext/>
              <w:outlineLvl w:val="1"/>
              <w:rPr>
                <w:sz w:val="22"/>
                <w:szCs w:val="22"/>
              </w:rPr>
            </w:pPr>
            <w:r w:rsidRPr="00CF2322">
              <w:rPr>
                <w:sz w:val="22"/>
                <w:szCs w:val="22"/>
              </w:rPr>
              <w:t>0159</w:t>
            </w:r>
          </w:p>
        </w:tc>
        <w:tc>
          <w:tcPr>
            <w:tcW w:w="3072" w:type="dxa"/>
            <w:tcBorders>
              <w:top w:val="single" w:sz="4" w:space="0" w:color="auto"/>
              <w:left w:val="single" w:sz="4" w:space="0" w:color="auto"/>
              <w:bottom w:val="single" w:sz="4" w:space="0" w:color="auto"/>
              <w:right w:val="single" w:sz="4" w:space="0" w:color="auto"/>
            </w:tcBorders>
            <w:hideMark/>
          </w:tcPr>
          <w:p w14:paraId="1BEEFCCA" w14:textId="77777777" w:rsidR="00CF2322" w:rsidRPr="00CF2322" w:rsidRDefault="00CF2322" w:rsidP="00CF2322">
            <w:pPr>
              <w:keepNext/>
              <w:outlineLvl w:val="1"/>
              <w:rPr>
                <w:sz w:val="22"/>
                <w:szCs w:val="22"/>
              </w:rPr>
            </w:pPr>
            <w:r w:rsidRPr="00CF2322">
              <w:rPr>
                <w:sz w:val="22"/>
                <w:szCs w:val="22"/>
              </w:rPr>
              <w:t>TUBO PVC PREDIAL 25MM NBR 5648 - COM 6 METROS</w:t>
            </w:r>
          </w:p>
        </w:tc>
        <w:tc>
          <w:tcPr>
            <w:tcW w:w="1304" w:type="dxa"/>
            <w:tcBorders>
              <w:top w:val="single" w:sz="4" w:space="0" w:color="auto"/>
              <w:left w:val="single" w:sz="4" w:space="0" w:color="auto"/>
              <w:bottom w:val="single" w:sz="4" w:space="0" w:color="auto"/>
              <w:right w:val="single" w:sz="4" w:space="0" w:color="auto"/>
            </w:tcBorders>
            <w:hideMark/>
          </w:tcPr>
          <w:p w14:paraId="3A647FC4"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3C864663"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0647290C"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72FE661B" w14:textId="77777777" w:rsidR="00CF2322" w:rsidRPr="00CF2322" w:rsidRDefault="00CF2322" w:rsidP="00CF2322">
            <w:pPr>
              <w:keepNext/>
              <w:jc w:val="right"/>
              <w:outlineLvl w:val="1"/>
              <w:rPr>
                <w:sz w:val="22"/>
                <w:szCs w:val="22"/>
              </w:rPr>
            </w:pPr>
            <w:r w:rsidRPr="00CF2322">
              <w:rPr>
                <w:sz w:val="22"/>
                <w:szCs w:val="22"/>
              </w:rPr>
              <w:t>25,00</w:t>
            </w:r>
          </w:p>
        </w:tc>
        <w:tc>
          <w:tcPr>
            <w:tcW w:w="850" w:type="dxa"/>
            <w:tcBorders>
              <w:top w:val="single" w:sz="4" w:space="0" w:color="auto"/>
              <w:left w:val="single" w:sz="4" w:space="0" w:color="auto"/>
              <w:bottom w:val="single" w:sz="4" w:space="0" w:color="auto"/>
              <w:right w:val="single" w:sz="4" w:space="0" w:color="auto"/>
            </w:tcBorders>
            <w:hideMark/>
          </w:tcPr>
          <w:p w14:paraId="24A01538" w14:textId="77777777" w:rsidR="00CF2322" w:rsidRPr="00CF2322" w:rsidRDefault="00CF2322" w:rsidP="00CF2322">
            <w:pPr>
              <w:keepNext/>
              <w:jc w:val="right"/>
              <w:outlineLvl w:val="1"/>
              <w:rPr>
                <w:sz w:val="22"/>
                <w:szCs w:val="22"/>
              </w:rPr>
            </w:pPr>
            <w:r w:rsidRPr="00CF2322">
              <w:rPr>
                <w:sz w:val="22"/>
                <w:szCs w:val="22"/>
              </w:rPr>
              <w:t>25.000,00</w:t>
            </w:r>
          </w:p>
        </w:tc>
      </w:tr>
      <w:tr w:rsidR="00CF2322" w:rsidRPr="00CF2322" w14:paraId="0C879784"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30629719" w14:textId="77777777" w:rsidR="00CF2322" w:rsidRPr="00CF2322" w:rsidRDefault="00CF2322" w:rsidP="00CF2322">
            <w:pPr>
              <w:keepNext/>
              <w:outlineLvl w:val="1"/>
              <w:rPr>
                <w:sz w:val="22"/>
                <w:szCs w:val="22"/>
              </w:rPr>
            </w:pPr>
            <w:r w:rsidRPr="00CF2322">
              <w:rPr>
                <w:sz w:val="22"/>
                <w:szCs w:val="22"/>
              </w:rPr>
              <w:t>0160</w:t>
            </w:r>
          </w:p>
        </w:tc>
        <w:tc>
          <w:tcPr>
            <w:tcW w:w="3072" w:type="dxa"/>
            <w:tcBorders>
              <w:top w:val="single" w:sz="4" w:space="0" w:color="auto"/>
              <w:left w:val="single" w:sz="4" w:space="0" w:color="auto"/>
              <w:bottom w:val="single" w:sz="4" w:space="0" w:color="auto"/>
              <w:right w:val="single" w:sz="4" w:space="0" w:color="auto"/>
            </w:tcBorders>
            <w:hideMark/>
          </w:tcPr>
          <w:p w14:paraId="514B7292" w14:textId="77777777" w:rsidR="00CF2322" w:rsidRPr="00CF2322" w:rsidRDefault="00CF2322" w:rsidP="00CF2322">
            <w:pPr>
              <w:keepNext/>
              <w:outlineLvl w:val="1"/>
              <w:rPr>
                <w:sz w:val="22"/>
                <w:szCs w:val="22"/>
              </w:rPr>
            </w:pPr>
            <w:r w:rsidRPr="00CF2322">
              <w:rPr>
                <w:sz w:val="22"/>
                <w:szCs w:val="22"/>
              </w:rPr>
              <w:t>TUBO PVC PREDIAL 40MM NBR 5648 - COM 6 METROS</w:t>
            </w:r>
          </w:p>
        </w:tc>
        <w:tc>
          <w:tcPr>
            <w:tcW w:w="1304" w:type="dxa"/>
            <w:tcBorders>
              <w:top w:val="single" w:sz="4" w:space="0" w:color="auto"/>
              <w:left w:val="single" w:sz="4" w:space="0" w:color="auto"/>
              <w:bottom w:val="single" w:sz="4" w:space="0" w:color="auto"/>
              <w:right w:val="single" w:sz="4" w:space="0" w:color="auto"/>
            </w:tcBorders>
            <w:hideMark/>
          </w:tcPr>
          <w:p w14:paraId="567738BC"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36C85B24"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3F5D3B8F"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76C2C1BA" w14:textId="77777777" w:rsidR="00CF2322" w:rsidRPr="00CF2322" w:rsidRDefault="00CF2322" w:rsidP="00CF2322">
            <w:pPr>
              <w:keepNext/>
              <w:jc w:val="right"/>
              <w:outlineLvl w:val="1"/>
              <w:rPr>
                <w:sz w:val="22"/>
                <w:szCs w:val="22"/>
              </w:rPr>
            </w:pPr>
            <w:r w:rsidRPr="00CF2322">
              <w:rPr>
                <w:sz w:val="22"/>
                <w:szCs w:val="22"/>
              </w:rPr>
              <w:t>58,00</w:t>
            </w:r>
          </w:p>
        </w:tc>
        <w:tc>
          <w:tcPr>
            <w:tcW w:w="850" w:type="dxa"/>
            <w:tcBorders>
              <w:top w:val="single" w:sz="4" w:space="0" w:color="auto"/>
              <w:left w:val="single" w:sz="4" w:space="0" w:color="auto"/>
              <w:bottom w:val="single" w:sz="4" w:space="0" w:color="auto"/>
              <w:right w:val="single" w:sz="4" w:space="0" w:color="auto"/>
            </w:tcBorders>
            <w:hideMark/>
          </w:tcPr>
          <w:p w14:paraId="288EE22D" w14:textId="77777777" w:rsidR="00CF2322" w:rsidRPr="00CF2322" w:rsidRDefault="00CF2322" w:rsidP="00CF2322">
            <w:pPr>
              <w:keepNext/>
              <w:jc w:val="right"/>
              <w:outlineLvl w:val="1"/>
              <w:rPr>
                <w:sz w:val="22"/>
                <w:szCs w:val="22"/>
              </w:rPr>
            </w:pPr>
            <w:r w:rsidRPr="00CF2322">
              <w:rPr>
                <w:sz w:val="22"/>
                <w:szCs w:val="22"/>
              </w:rPr>
              <w:t>58.000,00</w:t>
            </w:r>
          </w:p>
        </w:tc>
      </w:tr>
      <w:tr w:rsidR="00CF2322" w:rsidRPr="00CF2322" w14:paraId="2F3AC496"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48CC5B26" w14:textId="77777777" w:rsidR="00CF2322" w:rsidRPr="00CF2322" w:rsidRDefault="00CF2322" w:rsidP="00CF2322">
            <w:pPr>
              <w:keepNext/>
              <w:outlineLvl w:val="1"/>
              <w:rPr>
                <w:sz w:val="22"/>
                <w:szCs w:val="22"/>
              </w:rPr>
            </w:pPr>
            <w:r w:rsidRPr="00CF2322">
              <w:rPr>
                <w:sz w:val="22"/>
                <w:szCs w:val="22"/>
              </w:rPr>
              <w:t>0161</w:t>
            </w:r>
          </w:p>
        </w:tc>
        <w:tc>
          <w:tcPr>
            <w:tcW w:w="3072" w:type="dxa"/>
            <w:tcBorders>
              <w:top w:val="single" w:sz="4" w:space="0" w:color="auto"/>
              <w:left w:val="single" w:sz="4" w:space="0" w:color="auto"/>
              <w:bottom w:val="single" w:sz="4" w:space="0" w:color="auto"/>
              <w:right w:val="single" w:sz="4" w:space="0" w:color="auto"/>
            </w:tcBorders>
            <w:hideMark/>
          </w:tcPr>
          <w:p w14:paraId="62D1A37C" w14:textId="77777777" w:rsidR="00CF2322" w:rsidRPr="00CF2322" w:rsidRDefault="00CF2322" w:rsidP="00CF2322">
            <w:pPr>
              <w:keepNext/>
              <w:outlineLvl w:val="1"/>
              <w:rPr>
                <w:sz w:val="22"/>
                <w:szCs w:val="22"/>
              </w:rPr>
            </w:pPr>
            <w:r w:rsidRPr="00CF2322">
              <w:rPr>
                <w:sz w:val="22"/>
                <w:szCs w:val="22"/>
              </w:rPr>
              <w:t>TUBO PVC PREDIAL 60MM NBR 5648 - COM 6 METROS</w:t>
            </w:r>
          </w:p>
        </w:tc>
        <w:tc>
          <w:tcPr>
            <w:tcW w:w="1304" w:type="dxa"/>
            <w:tcBorders>
              <w:top w:val="single" w:sz="4" w:space="0" w:color="auto"/>
              <w:left w:val="single" w:sz="4" w:space="0" w:color="auto"/>
              <w:bottom w:val="single" w:sz="4" w:space="0" w:color="auto"/>
              <w:right w:val="single" w:sz="4" w:space="0" w:color="auto"/>
            </w:tcBorders>
            <w:hideMark/>
          </w:tcPr>
          <w:p w14:paraId="1F79AE5B"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1A229887" w14:textId="77777777" w:rsidR="00CF2322" w:rsidRPr="00CF2322" w:rsidRDefault="00CF2322" w:rsidP="00CF2322">
            <w:pPr>
              <w:keepNext/>
              <w:outlineLvl w:val="1"/>
              <w:rPr>
                <w:sz w:val="22"/>
                <w:szCs w:val="22"/>
              </w:rPr>
            </w:pPr>
            <w:r w:rsidRPr="00CF2322">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3C4220C0"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4FEF37F2" w14:textId="77777777" w:rsidR="00CF2322" w:rsidRPr="00CF2322" w:rsidRDefault="00CF2322" w:rsidP="00CF2322">
            <w:pPr>
              <w:keepNext/>
              <w:jc w:val="right"/>
              <w:outlineLvl w:val="1"/>
              <w:rPr>
                <w:sz w:val="22"/>
                <w:szCs w:val="22"/>
              </w:rPr>
            </w:pPr>
            <w:r w:rsidRPr="00CF2322">
              <w:rPr>
                <w:sz w:val="22"/>
                <w:szCs w:val="22"/>
              </w:rPr>
              <w:t>122,16</w:t>
            </w:r>
          </w:p>
        </w:tc>
        <w:tc>
          <w:tcPr>
            <w:tcW w:w="850" w:type="dxa"/>
            <w:tcBorders>
              <w:top w:val="single" w:sz="4" w:space="0" w:color="auto"/>
              <w:left w:val="single" w:sz="4" w:space="0" w:color="auto"/>
              <w:bottom w:val="single" w:sz="4" w:space="0" w:color="auto"/>
              <w:right w:val="single" w:sz="4" w:space="0" w:color="auto"/>
            </w:tcBorders>
            <w:hideMark/>
          </w:tcPr>
          <w:p w14:paraId="274222B8" w14:textId="77777777" w:rsidR="00CF2322" w:rsidRPr="00CF2322" w:rsidRDefault="00CF2322" w:rsidP="00CF2322">
            <w:pPr>
              <w:keepNext/>
              <w:jc w:val="right"/>
              <w:outlineLvl w:val="1"/>
              <w:rPr>
                <w:sz w:val="22"/>
                <w:szCs w:val="22"/>
              </w:rPr>
            </w:pPr>
            <w:r w:rsidRPr="00CF2322">
              <w:rPr>
                <w:sz w:val="22"/>
                <w:szCs w:val="22"/>
              </w:rPr>
              <w:t>122.160,00</w:t>
            </w:r>
          </w:p>
        </w:tc>
      </w:tr>
      <w:tr w:rsidR="00CF2322" w:rsidRPr="00CF2322" w14:paraId="1BB9810D" w14:textId="77777777" w:rsidTr="00CF2322">
        <w:tc>
          <w:tcPr>
            <w:tcW w:w="0" w:type="auto"/>
            <w:tcBorders>
              <w:top w:val="single" w:sz="4" w:space="0" w:color="auto"/>
              <w:left w:val="single" w:sz="4" w:space="0" w:color="auto"/>
              <w:bottom w:val="single" w:sz="4" w:space="0" w:color="auto"/>
              <w:right w:val="single" w:sz="4" w:space="0" w:color="auto"/>
            </w:tcBorders>
            <w:hideMark/>
          </w:tcPr>
          <w:p w14:paraId="7C947CDD" w14:textId="77777777" w:rsidR="00CF2322" w:rsidRPr="00CF2322" w:rsidRDefault="00CF2322" w:rsidP="00CF2322">
            <w:pPr>
              <w:keepNext/>
              <w:outlineLvl w:val="1"/>
              <w:rPr>
                <w:sz w:val="22"/>
                <w:szCs w:val="22"/>
              </w:rPr>
            </w:pPr>
            <w:r w:rsidRPr="00CF2322">
              <w:rPr>
                <w:sz w:val="22"/>
                <w:szCs w:val="22"/>
              </w:rPr>
              <w:t>0162</w:t>
            </w:r>
          </w:p>
        </w:tc>
        <w:tc>
          <w:tcPr>
            <w:tcW w:w="3072" w:type="dxa"/>
            <w:tcBorders>
              <w:top w:val="single" w:sz="4" w:space="0" w:color="auto"/>
              <w:left w:val="single" w:sz="4" w:space="0" w:color="auto"/>
              <w:bottom w:val="single" w:sz="4" w:space="0" w:color="auto"/>
              <w:right w:val="single" w:sz="4" w:space="0" w:color="auto"/>
            </w:tcBorders>
            <w:hideMark/>
          </w:tcPr>
          <w:p w14:paraId="67872A56" w14:textId="77777777" w:rsidR="00CF2322" w:rsidRPr="00CF2322" w:rsidRDefault="00CF2322" w:rsidP="00CF2322">
            <w:pPr>
              <w:keepNext/>
              <w:outlineLvl w:val="1"/>
              <w:rPr>
                <w:sz w:val="22"/>
                <w:szCs w:val="22"/>
              </w:rPr>
            </w:pPr>
            <w:r w:rsidRPr="00CF2322">
              <w:rPr>
                <w:sz w:val="22"/>
                <w:szCs w:val="22"/>
              </w:rPr>
              <w:t>TUBO PVC ROSCAVEL DE 1"</w:t>
            </w:r>
          </w:p>
        </w:tc>
        <w:tc>
          <w:tcPr>
            <w:tcW w:w="1304" w:type="dxa"/>
            <w:tcBorders>
              <w:top w:val="single" w:sz="4" w:space="0" w:color="auto"/>
              <w:left w:val="single" w:sz="4" w:space="0" w:color="auto"/>
              <w:bottom w:val="single" w:sz="4" w:space="0" w:color="auto"/>
              <w:right w:val="single" w:sz="4" w:space="0" w:color="auto"/>
            </w:tcBorders>
            <w:hideMark/>
          </w:tcPr>
          <w:p w14:paraId="47700F6A" w14:textId="77777777" w:rsidR="00CF2322" w:rsidRPr="00CF2322" w:rsidRDefault="00CF2322" w:rsidP="00CF2322">
            <w:pPr>
              <w:keepNext/>
              <w:outlineLvl w:val="1"/>
              <w:rPr>
                <w:sz w:val="22"/>
                <w:szCs w:val="22"/>
              </w:rPr>
            </w:pPr>
            <w:r w:rsidRPr="00CF2322">
              <w:rPr>
                <w:sz w:val="22"/>
                <w:szCs w:val="22"/>
              </w:rPr>
              <w:t>POLYVIN</w:t>
            </w:r>
          </w:p>
        </w:tc>
        <w:tc>
          <w:tcPr>
            <w:tcW w:w="1415" w:type="dxa"/>
            <w:tcBorders>
              <w:top w:val="single" w:sz="4" w:space="0" w:color="auto"/>
              <w:left w:val="single" w:sz="4" w:space="0" w:color="auto"/>
              <w:bottom w:val="single" w:sz="4" w:space="0" w:color="auto"/>
              <w:right w:val="single" w:sz="4" w:space="0" w:color="auto"/>
            </w:tcBorders>
            <w:hideMark/>
          </w:tcPr>
          <w:p w14:paraId="310C3E1C" w14:textId="77777777" w:rsidR="00CF2322" w:rsidRPr="00CF2322" w:rsidRDefault="00CF2322" w:rsidP="00CF2322">
            <w:pPr>
              <w:keepNext/>
              <w:outlineLvl w:val="1"/>
              <w:rPr>
                <w:sz w:val="22"/>
                <w:szCs w:val="22"/>
              </w:rPr>
            </w:pPr>
            <w:r w:rsidRPr="00CF2322">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3DB78187" w14:textId="77777777" w:rsidR="00CF2322" w:rsidRPr="00CF2322" w:rsidRDefault="00CF2322" w:rsidP="00CF2322">
            <w:pPr>
              <w:keepNext/>
              <w:outlineLvl w:val="1"/>
              <w:rPr>
                <w:sz w:val="22"/>
                <w:szCs w:val="22"/>
              </w:rPr>
            </w:pPr>
            <w:r w:rsidRPr="00CF2322">
              <w:rPr>
                <w:sz w:val="22"/>
                <w:szCs w:val="22"/>
              </w:rPr>
              <w:t>UN</w:t>
            </w:r>
          </w:p>
        </w:tc>
        <w:tc>
          <w:tcPr>
            <w:tcW w:w="1192" w:type="dxa"/>
            <w:tcBorders>
              <w:top w:val="single" w:sz="4" w:space="0" w:color="auto"/>
              <w:left w:val="single" w:sz="4" w:space="0" w:color="auto"/>
              <w:bottom w:val="single" w:sz="4" w:space="0" w:color="auto"/>
              <w:right w:val="single" w:sz="4" w:space="0" w:color="auto"/>
            </w:tcBorders>
            <w:hideMark/>
          </w:tcPr>
          <w:p w14:paraId="43F0EB37" w14:textId="77777777" w:rsidR="00CF2322" w:rsidRPr="00CF2322" w:rsidRDefault="00CF2322" w:rsidP="00CF2322">
            <w:pPr>
              <w:keepNext/>
              <w:jc w:val="right"/>
              <w:outlineLvl w:val="1"/>
              <w:rPr>
                <w:sz w:val="22"/>
                <w:szCs w:val="22"/>
              </w:rPr>
            </w:pPr>
            <w:r w:rsidRPr="00CF2322">
              <w:rPr>
                <w:sz w:val="22"/>
                <w:szCs w:val="22"/>
              </w:rPr>
              <w:t>50,93</w:t>
            </w:r>
          </w:p>
        </w:tc>
        <w:tc>
          <w:tcPr>
            <w:tcW w:w="850" w:type="dxa"/>
            <w:tcBorders>
              <w:top w:val="single" w:sz="4" w:space="0" w:color="auto"/>
              <w:left w:val="single" w:sz="4" w:space="0" w:color="auto"/>
              <w:bottom w:val="single" w:sz="4" w:space="0" w:color="auto"/>
              <w:right w:val="single" w:sz="4" w:space="0" w:color="auto"/>
            </w:tcBorders>
            <w:hideMark/>
          </w:tcPr>
          <w:p w14:paraId="0C7C6849" w14:textId="77777777" w:rsidR="00CF2322" w:rsidRPr="00CF2322" w:rsidRDefault="00CF2322" w:rsidP="00CF2322">
            <w:pPr>
              <w:keepNext/>
              <w:jc w:val="right"/>
              <w:outlineLvl w:val="1"/>
              <w:rPr>
                <w:sz w:val="22"/>
                <w:szCs w:val="22"/>
              </w:rPr>
            </w:pPr>
            <w:r w:rsidRPr="00CF2322">
              <w:rPr>
                <w:sz w:val="22"/>
                <w:szCs w:val="22"/>
              </w:rPr>
              <w:t>10.186,00</w:t>
            </w:r>
          </w:p>
        </w:tc>
      </w:tr>
      <w:tr w:rsidR="00CF2322" w:rsidRPr="00CF2322" w14:paraId="18B0D65E" w14:textId="77777777" w:rsidTr="00CF2322">
        <w:tc>
          <w:tcPr>
            <w:tcW w:w="9634" w:type="dxa"/>
            <w:gridSpan w:val="7"/>
            <w:tcBorders>
              <w:top w:val="single" w:sz="4" w:space="0" w:color="auto"/>
              <w:left w:val="single" w:sz="4" w:space="0" w:color="auto"/>
              <w:bottom w:val="single" w:sz="4" w:space="0" w:color="auto"/>
              <w:right w:val="single" w:sz="4" w:space="0" w:color="auto"/>
            </w:tcBorders>
            <w:hideMark/>
          </w:tcPr>
          <w:p w14:paraId="3698A2F8" w14:textId="77777777" w:rsidR="00CF2322" w:rsidRPr="00CF2322" w:rsidRDefault="00CF2322" w:rsidP="00CF2322">
            <w:pPr>
              <w:keepNext/>
              <w:jc w:val="right"/>
              <w:outlineLvl w:val="1"/>
              <w:rPr>
                <w:b/>
                <w:bCs/>
                <w:sz w:val="22"/>
                <w:szCs w:val="22"/>
              </w:rPr>
            </w:pPr>
            <w:r w:rsidRPr="00CF2322">
              <w:rPr>
                <w:b/>
                <w:bCs/>
                <w:sz w:val="22"/>
                <w:szCs w:val="22"/>
              </w:rPr>
              <w:t>Total do Fornecedor: 634.016,00</w:t>
            </w:r>
          </w:p>
        </w:tc>
      </w:tr>
    </w:tbl>
    <w:p w14:paraId="42FCDFCD" w14:textId="77777777" w:rsidR="00CF2322" w:rsidRPr="000F266B" w:rsidRDefault="00CF2322" w:rsidP="001A049A">
      <w:pPr>
        <w:spacing w:after="0" w:line="240" w:lineRule="auto"/>
        <w:jc w:val="both"/>
        <w:rPr>
          <w:rFonts w:ascii="Times New Roman" w:hAnsi="Times New Roman" w:cs="Times New Roman"/>
          <w:color w:val="FF0000"/>
        </w:rPr>
      </w:pPr>
    </w:p>
    <w:p w14:paraId="7571AAD9"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24B43EA5"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lastRenderedPageBreak/>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1D4048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DBD840F"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A7FF9F5"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7AA502EB"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76DE630"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E2479CF"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1861C0C9"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92D968A"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4F51CD3" w14:textId="77777777" w:rsidR="00C2041B" w:rsidRPr="00C2041B" w:rsidRDefault="00C2041B" w:rsidP="00A119CE">
      <w:pPr>
        <w:spacing w:after="0" w:line="240" w:lineRule="auto"/>
        <w:jc w:val="both"/>
        <w:rPr>
          <w:rFonts w:ascii="Times New Roman" w:hAnsi="Times New Roman" w:cs="Times New Roman"/>
        </w:rPr>
      </w:pPr>
    </w:p>
    <w:p w14:paraId="2A5FABB0"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334A3B08"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41C76F4F"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1B05F587" w14:textId="77777777" w:rsidR="000F266B" w:rsidRPr="00C2041B" w:rsidRDefault="000F266B" w:rsidP="001A049A">
      <w:pPr>
        <w:spacing w:after="0" w:line="240" w:lineRule="auto"/>
        <w:jc w:val="both"/>
        <w:rPr>
          <w:rFonts w:ascii="Times New Roman" w:hAnsi="Times New Roman" w:cs="Times New Roman"/>
        </w:rPr>
      </w:pPr>
    </w:p>
    <w:p w14:paraId="4EA90EFD"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46B0DCAC"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0A0E8762"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6A6C665C" w14:textId="77777777" w:rsidR="000F266B" w:rsidRPr="00C2041B" w:rsidRDefault="000F266B" w:rsidP="00F138D1">
      <w:pPr>
        <w:spacing w:after="0" w:line="240" w:lineRule="auto"/>
        <w:jc w:val="both"/>
        <w:rPr>
          <w:rFonts w:ascii="Times New Roman" w:hAnsi="Times New Roman" w:cs="Times New Roman"/>
        </w:rPr>
      </w:pPr>
    </w:p>
    <w:p w14:paraId="5B9FB442"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18D323D7"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7712BD1A"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24ED9205"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4907A228" w14:textId="77777777" w:rsidR="000F266B" w:rsidRPr="00C2041B" w:rsidRDefault="000F266B" w:rsidP="001A049A">
      <w:pPr>
        <w:spacing w:after="0" w:line="240" w:lineRule="auto"/>
        <w:jc w:val="both"/>
        <w:rPr>
          <w:rFonts w:ascii="Times New Roman" w:hAnsi="Times New Roman" w:cs="Times New Roman"/>
        </w:rPr>
      </w:pPr>
    </w:p>
    <w:p w14:paraId="44E4B84A"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157ECDF8"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3CB069D4"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lastRenderedPageBreak/>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56D8AF79"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51D09D68"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4B338090"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11D7EFBA"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24147D20"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41110433"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44DAEE9F"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1E01184A"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2B0D9026"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425FBD4C" w14:textId="77777777" w:rsidR="000F266B" w:rsidRPr="00C2041B" w:rsidRDefault="000F266B" w:rsidP="000733E1">
      <w:pPr>
        <w:pStyle w:val="Corpodetexto"/>
        <w:tabs>
          <w:tab w:val="left" w:pos="200"/>
        </w:tabs>
        <w:jc w:val="both"/>
        <w:rPr>
          <w:rFonts w:ascii="Times New Roman" w:hAnsi="Times New Roman" w:cs="Times New Roman"/>
        </w:rPr>
      </w:pPr>
    </w:p>
    <w:p w14:paraId="6DEDEEFD"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5BF64CB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12E98BB5"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24A14AF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5AC59FA6"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6A8A8CC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60488B1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5A0C931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2F730FB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6C2E310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431B9BB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1531313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1B39E93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17B5B65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3120A74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b)</w:t>
      </w:r>
      <w:r w:rsidRPr="00C2041B">
        <w:rPr>
          <w:rFonts w:ascii="Times New Roman" w:hAnsi="Times New Roman" w:cs="Times New Roman"/>
        </w:rPr>
        <w:tab/>
        <w:t>demonstrarem não possuir idoneidade para contratar com a Administração;</w:t>
      </w:r>
    </w:p>
    <w:p w14:paraId="4CBF3FAA"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5FFA3EEA" w14:textId="77777777" w:rsidR="000F266B" w:rsidRPr="00C2041B" w:rsidRDefault="000F266B" w:rsidP="001A049A">
      <w:pPr>
        <w:spacing w:after="0" w:line="240" w:lineRule="auto"/>
        <w:jc w:val="both"/>
        <w:rPr>
          <w:rFonts w:ascii="Times New Roman" w:hAnsi="Times New Roman" w:cs="Times New Roman"/>
        </w:rPr>
      </w:pPr>
    </w:p>
    <w:p w14:paraId="1E4C6EE7"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754749D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4AE99B1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7EEFD2A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5170BF2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6D61685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4CEDE95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lastRenderedPageBreak/>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5E1E8181"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535B2135" w14:textId="77777777" w:rsidR="000F266B" w:rsidRPr="00C2041B" w:rsidRDefault="000F266B" w:rsidP="001A049A">
      <w:pPr>
        <w:spacing w:after="0" w:line="240" w:lineRule="auto"/>
        <w:jc w:val="both"/>
        <w:rPr>
          <w:rFonts w:ascii="Times New Roman" w:hAnsi="Times New Roman" w:cs="Times New Roman"/>
        </w:rPr>
      </w:pPr>
    </w:p>
    <w:p w14:paraId="6A15C4F2"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603157D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r w:rsidRPr="00C2041B">
        <w:rPr>
          <w:rFonts w:ascii="Times New Roman" w:hAnsi="Times New Roman" w:cs="Times New Roman"/>
        </w:rPr>
        <w:t>E por estarem assim ajustadas, as partes, com as testemunhas abaixo, assinam o presente instrumento em 03 (três) vias de igual teor e forma.</w:t>
      </w:r>
    </w:p>
    <w:p w14:paraId="6E2FBB8D" w14:textId="77777777" w:rsidR="000F266B" w:rsidRPr="00D134C3" w:rsidRDefault="001A049A" w:rsidP="00D134C3">
      <w:pPr>
        <w:spacing w:after="0" w:line="240" w:lineRule="auto"/>
        <w:jc w:val="right"/>
        <w:rPr>
          <w:rFonts w:ascii="Times New Roman" w:hAnsi="Times New Roman" w:cs="Times New Roman"/>
        </w:rPr>
      </w:pPr>
      <w:bookmarkStart w:id="1" w:name="_GoBack"/>
      <w:bookmarkEnd w:id="1"/>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383AFCCB" w14:textId="77777777" w:rsidR="00611927" w:rsidRDefault="00611927" w:rsidP="00D134C3">
      <w:pPr>
        <w:spacing w:after="0" w:line="240" w:lineRule="auto"/>
        <w:jc w:val="right"/>
        <w:rPr>
          <w:rFonts w:ascii="Times New Roman" w:hAnsi="Times New Roman" w:cs="Times New Roman"/>
          <w:color w:val="FF0000"/>
        </w:rPr>
      </w:pPr>
    </w:p>
    <w:p w14:paraId="4A00D93A" w14:textId="77777777" w:rsidR="00611927" w:rsidRDefault="00611927" w:rsidP="00D134C3">
      <w:pPr>
        <w:spacing w:after="0" w:line="240" w:lineRule="auto"/>
        <w:jc w:val="right"/>
        <w:rPr>
          <w:rFonts w:ascii="Times New Roman" w:hAnsi="Times New Roman" w:cs="Times New Roman"/>
          <w:color w:val="FF0000"/>
        </w:rPr>
      </w:pPr>
    </w:p>
    <w:p w14:paraId="1D9A6BFA" w14:textId="77777777" w:rsidR="00611927" w:rsidRDefault="00611927" w:rsidP="00D134C3">
      <w:pPr>
        <w:spacing w:after="0" w:line="240" w:lineRule="auto"/>
        <w:jc w:val="right"/>
        <w:rPr>
          <w:rFonts w:ascii="Times New Roman" w:hAnsi="Times New Roman" w:cs="Times New Roman"/>
          <w:color w:val="FF0000"/>
        </w:rPr>
      </w:pPr>
    </w:p>
    <w:p w14:paraId="482D0A7F"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054402AC" w14:textId="77777777" w:rsidTr="00CF2322">
        <w:trPr>
          <w:trHeight w:val="2076"/>
          <w:jc w:val="center"/>
        </w:trPr>
        <w:tc>
          <w:tcPr>
            <w:tcW w:w="4836" w:type="dxa"/>
            <w:shd w:val="clear" w:color="auto" w:fill="auto"/>
          </w:tcPr>
          <w:p w14:paraId="02F87837"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112893CD"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Rhenys da Silva Cambraia</w:t>
            </w:r>
          </w:p>
          <w:p w14:paraId="5CBACD54"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056406A8" w14:textId="77777777" w:rsidR="00D134C3" w:rsidRPr="00D134C3" w:rsidRDefault="00D134C3" w:rsidP="00F10FC6">
            <w:pPr>
              <w:spacing w:after="0"/>
              <w:jc w:val="center"/>
              <w:rPr>
                <w:rFonts w:ascii="Times New Roman" w:hAnsi="Times New Roman" w:cs="Times New Roman"/>
                <w:b/>
                <w:sz w:val="24"/>
                <w:szCs w:val="24"/>
              </w:rPr>
            </w:pPr>
          </w:p>
          <w:p w14:paraId="69600729" w14:textId="77777777" w:rsidR="00D134C3" w:rsidRPr="00D134C3" w:rsidRDefault="00D134C3" w:rsidP="00F10FC6">
            <w:pPr>
              <w:spacing w:after="0" w:line="240" w:lineRule="auto"/>
              <w:jc w:val="center"/>
              <w:rPr>
                <w:rFonts w:ascii="Times New Roman" w:hAnsi="Times New Roman" w:cs="Times New Roman"/>
                <w:sz w:val="24"/>
                <w:szCs w:val="24"/>
              </w:rPr>
            </w:pPr>
          </w:p>
        </w:tc>
        <w:tc>
          <w:tcPr>
            <w:tcW w:w="5370" w:type="dxa"/>
            <w:gridSpan w:val="2"/>
            <w:shd w:val="clear" w:color="auto" w:fill="auto"/>
          </w:tcPr>
          <w:p w14:paraId="23FFAF93"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22FF61A9"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3A526045"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35539BFF" w14:textId="77777777" w:rsidTr="00D134C3">
        <w:trPr>
          <w:gridAfter w:val="1"/>
          <w:wAfter w:w="568" w:type="dxa"/>
          <w:trHeight w:val="669"/>
          <w:jc w:val="center"/>
        </w:trPr>
        <w:tc>
          <w:tcPr>
            <w:tcW w:w="9638" w:type="dxa"/>
            <w:gridSpan w:val="2"/>
            <w:shd w:val="clear" w:color="auto" w:fill="auto"/>
          </w:tcPr>
          <w:p w14:paraId="6F87B59C" w14:textId="77777777" w:rsidR="00CF2322" w:rsidRPr="00CF2322" w:rsidRDefault="00CF2322" w:rsidP="00F10FC6">
            <w:pPr>
              <w:spacing w:after="0" w:line="240" w:lineRule="auto"/>
              <w:jc w:val="center"/>
              <w:rPr>
                <w:rFonts w:ascii="Times New Roman" w:hAnsi="Times New Roman" w:cs="Times New Roman"/>
                <w:color w:val="FF0000"/>
                <w:sz w:val="24"/>
                <w:szCs w:val="24"/>
              </w:rPr>
            </w:pPr>
            <w:r w:rsidRPr="00CF2322">
              <w:rPr>
                <w:rFonts w:ascii="Times New Roman" w:hAnsi="Times New Roman" w:cs="Times New Roman"/>
                <w:b/>
                <w:bCs/>
                <w:sz w:val="24"/>
                <w:szCs w:val="24"/>
              </w:rPr>
              <w:t>DISTRIBUIDORA ENTSORGA LTDA</w:t>
            </w:r>
            <w:r w:rsidRPr="00CF2322">
              <w:rPr>
                <w:rFonts w:ascii="Times New Roman" w:hAnsi="Times New Roman" w:cs="Times New Roman"/>
                <w:color w:val="FF0000"/>
                <w:sz w:val="24"/>
                <w:szCs w:val="24"/>
              </w:rPr>
              <w:t xml:space="preserve"> </w:t>
            </w:r>
          </w:p>
          <w:p w14:paraId="7A4B499A" w14:textId="09DC67A0" w:rsidR="00D134C3" w:rsidRPr="00D134C3" w:rsidRDefault="00535099" w:rsidP="00F10FC6">
            <w:pPr>
              <w:spacing w:after="0" w:line="240" w:lineRule="auto"/>
              <w:jc w:val="center"/>
              <w:rPr>
                <w:rFonts w:ascii="Times New Roman" w:hAnsi="Times New Roman" w:cs="Times New Roman"/>
                <w:b/>
                <w:sz w:val="24"/>
                <w:szCs w:val="24"/>
                <w:u w:val="single"/>
              </w:rPr>
            </w:pPr>
            <w:r w:rsidRPr="00535099">
              <w:rPr>
                <w:rFonts w:ascii="Times New Roman" w:hAnsi="Times New Roman" w:cs="Times New Roman"/>
              </w:rPr>
              <w:t>Zaivane Fernandes Nogueira</w:t>
            </w:r>
          </w:p>
        </w:tc>
      </w:tr>
    </w:tbl>
    <w:p w14:paraId="639453A3" w14:textId="77777777" w:rsidR="00611927" w:rsidRDefault="00611927" w:rsidP="00D134C3">
      <w:pPr>
        <w:spacing w:after="0" w:line="240" w:lineRule="auto"/>
        <w:jc w:val="right"/>
        <w:rPr>
          <w:rFonts w:ascii="Times New Roman" w:hAnsi="Times New Roman" w:cs="Times New Roman"/>
          <w:color w:val="FF0000"/>
        </w:rPr>
      </w:pPr>
    </w:p>
    <w:p w14:paraId="4C59716D" w14:textId="77777777" w:rsidR="00611927" w:rsidRDefault="00611927" w:rsidP="00D134C3">
      <w:pPr>
        <w:spacing w:after="0" w:line="240" w:lineRule="auto"/>
        <w:jc w:val="right"/>
        <w:rPr>
          <w:rFonts w:ascii="Times New Roman" w:hAnsi="Times New Roman" w:cs="Times New Roman"/>
          <w:color w:val="FF0000"/>
        </w:rPr>
      </w:pPr>
    </w:p>
    <w:p w14:paraId="1E613AF1" w14:textId="77777777" w:rsidR="00611927" w:rsidRDefault="00611927" w:rsidP="00D134C3">
      <w:pPr>
        <w:spacing w:after="0" w:line="240" w:lineRule="auto"/>
        <w:jc w:val="right"/>
        <w:rPr>
          <w:rFonts w:ascii="Times New Roman" w:hAnsi="Times New Roman" w:cs="Times New Roman"/>
          <w:color w:val="FF0000"/>
        </w:rPr>
      </w:pPr>
    </w:p>
    <w:p w14:paraId="131EE8F3"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23DB6B00"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Diórgenes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33A4A5BC" w14:textId="77777777" w:rsidR="00D134C3" w:rsidRDefault="00D134C3" w:rsidP="00D134C3">
      <w:pPr>
        <w:spacing w:after="0" w:line="240" w:lineRule="auto"/>
        <w:jc w:val="center"/>
        <w:rPr>
          <w:rFonts w:ascii="Times New Roman" w:hAnsi="Times New Roman" w:cs="Times New Roman"/>
        </w:rPr>
      </w:pPr>
    </w:p>
    <w:p w14:paraId="4E76E2C1" w14:textId="77777777" w:rsidR="00D134C3" w:rsidRPr="00AF5AE5" w:rsidRDefault="00D134C3" w:rsidP="00D134C3">
      <w:pPr>
        <w:spacing w:after="0" w:line="240" w:lineRule="auto"/>
        <w:jc w:val="center"/>
        <w:rPr>
          <w:rFonts w:ascii="Times New Roman" w:hAnsi="Times New Roman" w:cs="Times New Roman"/>
        </w:rPr>
      </w:pPr>
    </w:p>
    <w:p w14:paraId="41E5EE90"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2CFDEC18" w14:textId="77777777" w:rsidR="00D134C3" w:rsidRPr="00D134C3" w:rsidRDefault="00D134C3" w:rsidP="00D134C3">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24573022" w14:textId="77777777" w:rsidR="00611927" w:rsidRDefault="00611927" w:rsidP="00D134C3">
      <w:pPr>
        <w:spacing w:after="0" w:line="240" w:lineRule="auto"/>
        <w:jc w:val="right"/>
        <w:rPr>
          <w:rFonts w:ascii="Times New Roman" w:hAnsi="Times New Roman" w:cs="Times New Roman"/>
          <w:color w:val="FF0000"/>
        </w:rPr>
      </w:pPr>
    </w:p>
    <w:p w14:paraId="3FDE52E8" w14:textId="77777777" w:rsidR="00611927" w:rsidRDefault="00611927" w:rsidP="00D134C3">
      <w:pPr>
        <w:spacing w:after="0" w:line="240" w:lineRule="auto"/>
        <w:jc w:val="right"/>
        <w:rPr>
          <w:rFonts w:ascii="Times New Roman" w:hAnsi="Times New Roman" w:cs="Times New Roman"/>
          <w:color w:val="FF0000"/>
        </w:rPr>
      </w:pPr>
    </w:p>
    <w:p w14:paraId="4F1F5DDB" w14:textId="77777777" w:rsidR="00611927" w:rsidRDefault="00611927" w:rsidP="00D134C3">
      <w:pPr>
        <w:spacing w:after="0" w:line="240" w:lineRule="auto"/>
        <w:jc w:val="right"/>
        <w:rPr>
          <w:rFonts w:ascii="Times New Roman" w:hAnsi="Times New Roman" w:cs="Times New Roman"/>
          <w:color w:val="FF0000"/>
        </w:rPr>
      </w:pPr>
    </w:p>
    <w:p w14:paraId="016070A8" w14:textId="77777777" w:rsidR="00611927" w:rsidRDefault="00611927" w:rsidP="00D134C3">
      <w:pPr>
        <w:spacing w:after="0" w:line="240" w:lineRule="auto"/>
        <w:jc w:val="right"/>
        <w:rPr>
          <w:rFonts w:ascii="Times New Roman" w:hAnsi="Times New Roman" w:cs="Times New Roman"/>
          <w:color w:val="FF0000"/>
        </w:rPr>
      </w:pPr>
    </w:p>
    <w:p w14:paraId="6BCE8531" w14:textId="77777777" w:rsidR="00611927" w:rsidRDefault="00611927" w:rsidP="00D134C3">
      <w:pPr>
        <w:spacing w:after="0" w:line="240" w:lineRule="auto"/>
        <w:jc w:val="right"/>
        <w:rPr>
          <w:rFonts w:ascii="Times New Roman" w:hAnsi="Times New Roman" w:cs="Times New Roman"/>
          <w:color w:val="FF0000"/>
        </w:rPr>
      </w:pPr>
    </w:p>
    <w:p w14:paraId="6CD8906D" w14:textId="77777777" w:rsidR="00611927" w:rsidRDefault="00611927" w:rsidP="00D134C3">
      <w:pPr>
        <w:spacing w:after="0" w:line="240" w:lineRule="auto"/>
        <w:jc w:val="right"/>
        <w:rPr>
          <w:rFonts w:ascii="Times New Roman" w:hAnsi="Times New Roman" w:cs="Times New Roman"/>
          <w:color w:val="FF0000"/>
        </w:rPr>
      </w:pPr>
    </w:p>
    <w:p w14:paraId="4B299311" w14:textId="77777777" w:rsidR="00611927" w:rsidRDefault="00611927" w:rsidP="00D134C3">
      <w:pPr>
        <w:spacing w:after="0" w:line="240" w:lineRule="auto"/>
        <w:jc w:val="right"/>
        <w:rPr>
          <w:rFonts w:ascii="Times New Roman" w:hAnsi="Times New Roman" w:cs="Times New Roman"/>
          <w:color w:val="FF0000"/>
        </w:rPr>
      </w:pPr>
    </w:p>
    <w:p w14:paraId="14FBDB8E" w14:textId="77777777" w:rsidR="00611927" w:rsidRDefault="00611927" w:rsidP="00D134C3">
      <w:pPr>
        <w:spacing w:after="0" w:line="240" w:lineRule="auto"/>
        <w:jc w:val="right"/>
        <w:rPr>
          <w:rFonts w:ascii="Times New Roman" w:hAnsi="Times New Roman" w:cs="Times New Roman"/>
          <w:color w:val="FF0000"/>
        </w:rPr>
      </w:pPr>
    </w:p>
    <w:p w14:paraId="1D228B0A" w14:textId="77777777" w:rsidR="00611927" w:rsidRDefault="00611927" w:rsidP="00D134C3">
      <w:pPr>
        <w:spacing w:after="0" w:line="240" w:lineRule="auto"/>
        <w:jc w:val="right"/>
        <w:rPr>
          <w:rFonts w:ascii="Times New Roman" w:hAnsi="Times New Roman" w:cs="Times New Roman"/>
          <w:color w:val="FF0000"/>
        </w:rPr>
      </w:pPr>
    </w:p>
    <w:p w14:paraId="513CB7CD" w14:textId="77777777" w:rsidR="00611927" w:rsidRDefault="00611927" w:rsidP="00D134C3">
      <w:pPr>
        <w:spacing w:after="0" w:line="240" w:lineRule="auto"/>
        <w:jc w:val="right"/>
        <w:rPr>
          <w:rFonts w:ascii="Times New Roman" w:hAnsi="Times New Roman" w:cs="Times New Roman"/>
          <w:color w:val="FF0000"/>
        </w:rPr>
      </w:pPr>
    </w:p>
    <w:p w14:paraId="21642404" w14:textId="77777777" w:rsidR="00611927" w:rsidRDefault="00611927" w:rsidP="00D134C3">
      <w:pPr>
        <w:spacing w:after="0" w:line="240" w:lineRule="auto"/>
        <w:jc w:val="right"/>
        <w:rPr>
          <w:rFonts w:ascii="Times New Roman" w:hAnsi="Times New Roman" w:cs="Times New Roman"/>
          <w:color w:val="FF0000"/>
        </w:rPr>
      </w:pPr>
    </w:p>
    <w:p w14:paraId="19C6808D" w14:textId="77777777" w:rsidR="00611927" w:rsidRDefault="00611927" w:rsidP="00D134C3">
      <w:pPr>
        <w:spacing w:after="0" w:line="240" w:lineRule="auto"/>
        <w:jc w:val="right"/>
        <w:rPr>
          <w:rFonts w:ascii="Times New Roman" w:hAnsi="Times New Roman" w:cs="Times New Roman"/>
          <w:color w:val="FF0000"/>
        </w:rPr>
      </w:pPr>
    </w:p>
    <w:p w14:paraId="6F3E658E" w14:textId="77777777" w:rsidR="00611927" w:rsidRDefault="00611927" w:rsidP="00D134C3">
      <w:pPr>
        <w:spacing w:after="0" w:line="240" w:lineRule="auto"/>
        <w:jc w:val="right"/>
        <w:rPr>
          <w:rFonts w:ascii="Times New Roman" w:hAnsi="Times New Roman" w:cs="Times New Roman"/>
          <w:color w:val="FF0000"/>
        </w:rPr>
      </w:pPr>
    </w:p>
    <w:p w14:paraId="47CAEB9A" w14:textId="77777777" w:rsidR="00611927" w:rsidRDefault="00611927" w:rsidP="00D134C3">
      <w:pPr>
        <w:spacing w:after="0" w:line="240" w:lineRule="auto"/>
        <w:jc w:val="right"/>
        <w:rPr>
          <w:rFonts w:ascii="Times New Roman" w:hAnsi="Times New Roman" w:cs="Times New Roman"/>
          <w:color w:val="FF0000"/>
        </w:rPr>
      </w:pPr>
    </w:p>
    <w:p w14:paraId="4EBD45E4" w14:textId="77777777" w:rsidR="00611927" w:rsidRDefault="00611927" w:rsidP="00D134C3">
      <w:pPr>
        <w:spacing w:after="0" w:line="240" w:lineRule="auto"/>
        <w:jc w:val="right"/>
        <w:rPr>
          <w:rFonts w:ascii="Times New Roman" w:hAnsi="Times New Roman" w:cs="Times New Roman"/>
          <w:color w:val="FF0000"/>
        </w:rPr>
      </w:pPr>
    </w:p>
    <w:p w14:paraId="4E2F1897" w14:textId="77777777" w:rsidR="00611927" w:rsidRDefault="00611927" w:rsidP="00D134C3">
      <w:pPr>
        <w:spacing w:after="0" w:line="240" w:lineRule="auto"/>
        <w:jc w:val="right"/>
        <w:rPr>
          <w:rFonts w:ascii="Times New Roman" w:hAnsi="Times New Roman" w:cs="Times New Roman"/>
          <w:color w:val="FF0000"/>
        </w:rPr>
      </w:pPr>
    </w:p>
    <w:sectPr w:rsidR="00611927" w:rsidSect="00C2041B">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2F8D8" w14:textId="77777777" w:rsidR="009F5BA9" w:rsidRDefault="009F5BA9" w:rsidP="00AB0644">
      <w:pPr>
        <w:spacing w:after="0" w:line="240" w:lineRule="auto"/>
      </w:pPr>
      <w:r>
        <w:separator/>
      </w:r>
    </w:p>
  </w:endnote>
  <w:endnote w:type="continuationSeparator" w:id="0">
    <w:p w14:paraId="3CCC35C9"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F766F"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D9BB1" w14:textId="77777777" w:rsidR="009F5BA9" w:rsidRDefault="009F5BA9" w:rsidP="00AB0644">
      <w:pPr>
        <w:spacing w:after="0" w:line="240" w:lineRule="auto"/>
      </w:pPr>
      <w:r>
        <w:separator/>
      </w:r>
    </w:p>
  </w:footnote>
  <w:footnote w:type="continuationSeparator" w:id="0">
    <w:p w14:paraId="56075C0B"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88F0"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7B115E88" wp14:editId="646476F9">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7D351A20" wp14:editId="79383E80">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1C283"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51A20"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2801C283"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7DC29E85" wp14:editId="2E48556B">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4ED44F5B"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41F53824"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5099"/>
    <w:rsid w:val="00537FE3"/>
    <w:rsid w:val="00563503"/>
    <w:rsid w:val="005A3D95"/>
    <w:rsid w:val="005C1250"/>
    <w:rsid w:val="005F1C71"/>
    <w:rsid w:val="00611927"/>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73E6B"/>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1C63"/>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CF2322"/>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35DA60"/>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CF2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CF2322"/>
    <w:rPr>
      <w:rFonts w:asciiTheme="majorHAnsi" w:eastAsiaTheme="majorEastAsia" w:hAnsiTheme="majorHAnsi" w:cstheme="majorBidi"/>
      <w:color w:val="2E74B5" w:themeColor="accent1" w:themeShade="BF"/>
      <w:sz w:val="26"/>
      <w:szCs w:val="26"/>
    </w:rPr>
  </w:style>
  <w:style w:type="table" w:customStyle="1" w:styleId="Tabelacomgrade1">
    <w:name w:val="Tabela com grade1"/>
    <w:basedOn w:val="Tabelanormal"/>
    <w:next w:val="Tabelacomgrade"/>
    <w:rsid w:val="00CF232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51041733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24A1-A7C2-4EC2-AB96-ED80562B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2382</Words>
  <Characters>12869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2021-09-21T18:53:00Z</cp:lastPrinted>
  <dcterms:created xsi:type="dcterms:W3CDTF">2021-10-18T16:47:00Z</dcterms:created>
  <dcterms:modified xsi:type="dcterms:W3CDTF">2021-10-18T17:53:00Z</dcterms:modified>
</cp:coreProperties>
</file>